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54" w:rsidRDefault="00413595" w:rsidP="00E36603">
      <w:pPr>
        <w:pStyle w:val="Ttulo1"/>
        <w:jc w:val="both"/>
      </w:pPr>
      <w:r>
        <w:t xml:space="preserve">ANÁLISIS REALIZADO POR  LA P.T.T.P. DEL RECLAMENTO </w:t>
      </w:r>
      <w:r w:rsidR="00E36603">
        <w:t xml:space="preserve"> </w:t>
      </w:r>
      <w:r>
        <w:t xml:space="preserve">DE LA UE </w:t>
      </w:r>
      <w:r w:rsidR="00E36603">
        <w:t>SOBRE EL “MECANISMO CONECTAR EUROPA</w:t>
      </w:r>
      <w:r>
        <w:t xml:space="preserve">  2021-2027” (MCE II) POSTERIOR A</w:t>
      </w:r>
      <w:r w:rsidR="00E36603">
        <w:t>L ACUERDO PARLAMENTO EUROPEO-CONSEJO DEL 13 DE MARZO DE 2019</w:t>
      </w:r>
      <w:r>
        <w:t xml:space="preserve"> Y SU  IMPACTO EN ASTURIAS  </w:t>
      </w:r>
    </w:p>
    <w:p w:rsidR="00E36603" w:rsidRDefault="00E36603" w:rsidP="00E36603"/>
    <w:p w:rsidR="00E36603" w:rsidRDefault="00413595" w:rsidP="00E36603">
      <w:r>
        <w:t>E</w:t>
      </w:r>
      <w:r w:rsidR="00E36603">
        <w:t xml:space="preserve">l análisis </w:t>
      </w:r>
      <w:r>
        <w:t xml:space="preserve">que realiza la </w:t>
      </w:r>
      <w:r w:rsidRPr="00F1376B">
        <w:rPr>
          <w:b/>
        </w:rPr>
        <w:t>P.T.T.P</w:t>
      </w:r>
      <w:r>
        <w:t>. se refiere al</w:t>
      </w:r>
      <w:r w:rsidR="00E36603">
        <w:t xml:space="preserve"> impacto sobre </w:t>
      </w:r>
      <w:r>
        <w:rPr>
          <w:b/>
        </w:rPr>
        <w:t>las R</w:t>
      </w:r>
      <w:r w:rsidR="00E36603" w:rsidRPr="00413595">
        <w:rPr>
          <w:b/>
        </w:rPr>
        <w:t xml:space="preserve">edes </w:t>
      </w:r>
      <w:r>
        <w:rPr>
          <w:b/>
        </w:rPr>
        <w:t>T</w:t>
      </w:r>
      <w:r w:rsidR="004D7210" w:rsidRPr="00413595">
        <w:rPr>
          <w:b/>
        </w:rPr>
        <w:t xml:space="preserve">ranseuropeas </w:t>
      </w:r>
      <w:r>
        <w:rPr>
          <w:b/>
        </w:rPr>
        <w:t>del Transporte</w:t>
      </w:r>
      <w:r w:rsidR="00E36603" w:rsidRPr="00413595">
        <w:rPr>
          <w:b/>
        </w:rPr>
        <w:t xml:space="preserve"> (RTE-T)</w:t>
      </w:r>
      <w:r w:rsidR="00E36603">
        <w:t>, pero es importante considerar que el MCE II se refiere también a las Redes  Transeuropeas de la ENERGÍA (RT</w:t>
      </w:r>
      <w:r w:rsidR="002A3113">
        <w:t>E-E) y del sector DIGITAL</w:t>
      </w:r>
      <w:r w:rsidR="004D7210">
        <w:t xml:space="preserve">, donde </w:t>
      </w:r>
      <w:r w:rsidR="00E36603">
        <w:t xml:space="preserve"> se ofrecen </w:t>
      </w:r>
      <w:r w:rsidR="004D7210">
        <w:t>oportunidades dignas de consideración</w:t>
      </w:r>
      <w:r w:rsidR="00E36603">
        <w:t>.</w:t>
      </w:r>
    </w:p>
    <w:p w:rsidR="002A3113" w:rsidRDefault="002A3113" w:rsidP="002A3113">
      <w:pPr>
        <w:pStyle w:val="Ttulo2"/>
      </w:pPr>
      <w:r>
        <w:t>INCLUSIÓN DE ASTURIAS EN ELCORREDOR ATLÁNTICO DE LA RED BÁSICA</w:t>
      </w:r>
    </w:p>
    <w:p w:rsidR="002A3113" w:rsidRDefault="002A3113" w:rsidP="002A3113">
      <w:pPr>
        <w:pStyle w:val="Prrafodelista"/>
        <w:numPr>
          <w:ilvl w:val="0"/>
          <w:numId w:val="1"/>
        </w:numPr>
      </w:pPr>
      <w:r w:rsidRPr="00DD3EA0">
        <w:rPr>
          <w:b/>
        </w:rPr>
        <w:t>Asturias</w:t>
      </w:r>
      <w:r>
        <w:t xml:space="preserve"> ha sido incluida en el </w:t>
      </w:r>
      <w:r w:rsidRPr="002A3113">
        <w:rPr>
          <w:b/>
        </w:rPr>
        <w:t>Corredor Atlántico de la red básica</w:t>
      </w:r>
      <w:r>
        <w:t xml:space="preserve">. </w:t>
      </w:r>
      <w:r w:rsidR="004D7210">
        <w:t xml:space="preserve">En la definición </w:t>
      </w:r>
      <w:r>
        <w:t xml:space="preserve"> del Corredor</w:t>
      </w:r>
      <w:r w:rsidR="00CC4FB9">
        <w:t xml:space="preserve"> (ver  parte III del Anexo del  Anexo del Reglamento) </w:t>
      </w:r>
      <w:r>
        <w:t>, se distinguen el “</w:t>
      </w:r>
      <w:r w:rsidRPr="00CC4FB9">
        <w:rPr>
          <w:b/>
        </w:rPr>
        <w:t>alineamiento</w:t>
      </w:r>
      <w:r>
        <w:t xml:space="preserve">”, </w:t>
      </w:r>
      <w:r w:rsidR="00F50CA3">
        <w:t>“</w:t>
      </w:r>
      <w:r w:rsidRPr="00CC4FB9">
        <w:rPr>
          <w:b/>
        </w:rPr>
        <w:t>las secciones transfronterizas</w:t>
      </w:r>
      <w:r w:rsidR="00F50CA3">
        <w:t>”</w:t>
      </w:r>
      <w:r>
        <w:t>(cross border links) y</w:t>
      </w:r>
      <w:r w:rsidR="00F50CA3">
        <w:t>”</w:t>
      </w:r>
      <w:r>
        <w:t xml:space="preserve"> </w:t>
      </w:r>
      <w:r w:rsidRPr="00CC4FB9">
        <w:rPr>
          <w:b/>
        </w:rPr>
        <w:t>las secciones que faltan</w:t>
      </w:r>
      <w:r w:rsidR="00F50CA3">
        <w:t>”</w:t>
      </w:r>
      <w:r>
        <w:t xml:space="preserve"> (missing links)</w:t>
      </w:r>
    </w:p>
    <w:p w:rsidR="00DD3EA0" w:rsidRDefault="002A3113" w:rsidP="00DD3EA0">
      <w:pPr>
        <w:pStyle w:val="Default"/>
        <w:numPr>
          <w:ilvl w:val="0"/>
          <w:numId w:val="2"/>
        </w:numPr>
      </w:pPr>
      <w:r>
        <w:t>En el “</w:t>
      </w:r>
      <w:r w:rsidRPr="00CC4FB9">
        <w:rPr>
          <w:b/>
        </w:rPr>
        <w:t>alineamiento</w:t>
      </w:r>
      <w:r>
        <w:t xml:space="preserve">” se cita la sección </w:t>
      </w:r>
      <w:r w:rsidRPr="00CC4FB9">
        <w:rPr>
          <w:b/>
        </w:rPr>
        <w:t>León-Gijón</w:t>
      </w:r>
      <w:r w:rsidR="00CC4FB9">
        <w:t>.</w:t>
      </w:r>
      <w:r w:rsidR="001A4E06">
        <w:t xml:space="preserve"> </w:t>
      </w:r>
      <w:r w:rsidR="00CC4FB9">
        <w:t>Se</w:t>
      </w:r>
      <w:r>
        <w:t xml:space="preserve"> refiere no solo al ferrocarril, sino también </w:t>
      </w:r>
      <w:r w:rsidR="004D7210">
        <w:t>a la carretera y la</w:t>
      </w:r>
      <w:r>
        <w:t xml:space="preserve"> infraestructura marítima</w:t>
      </w:r>
      <w:r w:rsidR="00DD3EA0">
        <w:t>.</w:t>
      </w:r>
      <w:r w:rsidR="00F50CA3">
        <w:t xml:space="preserve"> </w:t>
      </w:r>
      <w:r w:rsidR="001A4E06">
        <w:t>Explícitamente</w:t>
      </w:r>
      <w:r w:rsidR="00DD3EA0">
        <w:t xml:space="preserve"> menciona también las “plataformas logísticas multimodales “ (</w:t>
      </w:r>
      <w:r w:rsidR="00DD3EA0" w:rsidRPr="00CC4FB9">
        <w:rPr>
          <w:b/>
        </w:rPr>
        <w:t>ZALIA</w:t>
      </w:r>
      <w:r w:rsidR="00DD3EA0">
        <w:t>),puertos marítimos, terminales ferrocarril-carretera y conexión con aeropuertos en la red básica</w:t>
      </w:r>
      <w:r>
        <w:t>.</w:t>
      </w:r>
      <w:r w:rsidR="001A4E06">
        <w:t xml:space="preserve"> </w:t>
      </w:r>
      <w:r w:rsidR="00DD3EA0">
        <w:t>En el capítulo de “</w:t>
      </w:r>
      <w:r w:rsidR="00DD3EA0" w:rsidRPr="00CC4FB9">
        <w:rPr>
          <w:b/>
        </w:rPr>
        <w:t>indicadores</w:t>
      </w:r>
      <w:r w:rsidR="00DD3EA0">
        <w:t xml:space="preserve">”(KPIs) </w:t>
      </w:r>
      <w:r w:rsidR="00CC4FB9">
        <w:t>para le evaluación de los proyectos</w:t>
      </w:r>
      <w:r w:rsidR="001A4E06">
        <w:t>,</w:t>
      </w:r>
      <w:r w:rsidR="00CC4FB9">
        <w:t xml:space="preserve"> </w:t>
      </w:r>
      <w:r w:rsidR="00DD3EA0">
        <w:t xml:space="preserve">se </w:t>
      </w:r>
      <w:r w:rsidR="001A4E06">
        <w:t>pone en valor  por primera vez el concepto de “</w:t>
      </w:r>
      <w:r w:rsidR="001A4E06" w:rsidRPr="001A4E06">
        <w:rPr>
          <w:b/>
        </w:rPr>
        <w:t>transregional</w:t>
      </w:r>
      <w:r w:rsidR="001A4E06">
        <w:t xml:space="preserve">”,cuando </w:t>
      </w:r>
      <w:r w:rsidR="00DD3EA0">
        <w:t>señala como mérito la inclusión</w:t>
      </w:r>
      <w:r w:rsidR="00CC4FB9">
        <w:t>,</w:t>
      </w:r>
      <w:r w:rsidR="00DD3EA0">
        <w:t xml:space="preserve"> tanto en la red básica como en la red global</w:t>
      </w:r>
      <w:r w:rsidR="00CC4FB9">
        <w:t>,</w:t>
      </w:r>
      <w:r w:rsidR="00DD3EA0">
        <w:t xml:space="preserve"> de conexiones </w:t>
      </w:r>
      <w:r w:rsidR="00CC4FB9">
        <w:t>“</w:t>
      </w:r>
      <w:r w:rsidR="00CC4FB9" w:rsidRPr="00CC4FB9">
        <w:rPr>
          <w:b/>
        </w:rPr>
        <w:t xml:space="preserve">cross border </w:t>
      </w:r>
      <w:r w:rsidR="00DD3EA0" w:rsidRPr="00CC4FB9">
        <w:rPr>
          <w:b/>
        </w:rPr>
        <w:t xml:space="preserve"> regionales</w:t>
      </w:r>
      <w:r w:rsidR="00CC4FB9">
        <w:t>”</w:t>
      </w:r>
      <w:r w:rsidR="00D77875">
        <w:rPr>
          <w:rStyle w:val="Refdenotaalpie"/>
        </w:rPr>
        <w:footnoteReference w:id="2"/>
      </w:r>
      <w:r w:rsidR="00DD3EA0">
        <w:t xml:space="preserve"> (</w:t>
      </w:r>
      <w:r w:rsidR="00DD3EA0" w:rsidRPr="00CC4FB9">
        <w:rPr>
          <w:b/>
        </w:rPr>
        <w:t>Pajares</w:t>
      </w:r>
      <w:r w:rsidR="001A4E06">
        <w:t>).También considera como mérito la existencia de</w:t>
      </w:r>
      <w:r w:rsidR="00DD3EA0">
        <w:t xml:space="preserve"> plataformas multimodales (</w:t>
      </w:r>
      <w:r w:rsidR="00DD3EA0" w:rsidRPr="00CC4FB9">
        <w:rPr>
          <w:b/>
        </w:rPr>
        <w:t>ZALIA</w:t>
      </w:r>
      <w:r w:rsidR="00DD3EA0">
        <w:t>)</w:t>
      </w:r>
      <w:r w:rsidR="001A4E06">
        <w:t>,</w:t>
      </w:r>
      <w:r w:rsidR="00CC4FB9">
        <w:t xml:space="preserve"> </w:t>
      </w:r>
      <w:r w:rsidR="00DD3EA0">
        <w:t>puertos marítimos (</w:t>
      </w:r>
      <w:r w:rsidR="00DD3EA0" w:rsidRPr="00CC4FB9">
        <w:rPr>
          <w:b/>
        </w:rPr>
        <w:t>Gijón y Avilés</w:t>
      </w:r>
      <w:r w:rsidR="00DD3EA0">
        <w:t>), conexión con aeropuertos y terminales ferrocarril-carretera</w:t>
      </w:r>
      <w:r w:rsidR="00D16A2C">
        <w:t xml:space="preserve"> en el “</w:t>
      </w:r>
      <w:r w:rsidR="00D16A2C" w:rsidRPr="001A4E06">
        <w:rPr>
          <w:b/>
        </w:rPr>
        <w:t>alineamiento</w:t>
      </w:r>
      <w:r w:rsidR="00D16A2C">
        <w:t>”</w:t>
      </w:r>
      <w:r w:rsidR="00DD3EA0">
        <w:t>.</w:t>
      </w:r>
    </w:p>
    <w:p w:rsidR="002A3113" w:rsidRDefault="00F50CA3" w:rsidP="00DD3EA0">
      <w:pPr>
        <w:pStyle w:val="Default"/>
        <w:numPr>
          <w:ilvl w:val="0"/>
          <w:numId w:val="2"/>
        </w:numPr>
      </w:pPr>
      <w:r>
        <w:t xml:space="preserve">En lo que se refiere a las </w:t>
      </w:r>
      <w:r w:rsidR="00086809">
        <w:t>“</w:t>
      </w:r>
      <w:r w:rsidRPr="00086809">
        <w:rPr>
          <w:b/>
        </w:rPr>
        <w:t>secciones transfronterizas</w:t>
      </w:r>
      <w:r w:rsidR="00086809">
        <w:t>”</w:t>
      </w:r>
      <w:r>
        <w:t>,</w:t>
      </w:r>
      <w:r w:rsidR="00086809">
        <w:t xml:space="preserve"> </w:t>
      </w:r>
      <w:r>
        <w:t xml:space="preserve">en Asturias no existen </w:t>
      </w:r>
      <w:r w:rsidR="001A4E06">
        <w:t>en los alineamientos</w:t>
      </w:r>
      <w:r>
        <w:t xml:space="preserve"> terrestres, pero hay que señalar que el MCE II refuerza la importancia de las “</w:t>
      </w:r>
      <w:r w:rsidRPr="00CC4FB9">
        <w:rPr>
          <w:b/>
        </w:rPr>
        <w:t>autopistas del mar</w:t>
      </w:r>
      <w:r>
        <w:t xml:space="preserve">”, poniendo el foco especialmente </w:t>
      </w:r>
      <w:r w:rsidR="00CC4FB9">
        <w:t>cuando potencian</w:t>
      </w:r>
      <w:r>
        <w:t xml:space="preserve"> el transporte marítimo a corta distancia (“Short Sea Shipping”,SSS) </w:t>
      </w:r>
      <w:r w:rsidRPr="00F50CA3">
        <w:rPr>
          <w:b/>
        </w:rPr>
        <w:t>transfronterizo</w:t>
      </w:r>
      <w:r>
        <w:t xml:space="preserve">. </w:t>
      </w:r>
      <w:r w:rsidR="001A4E06">
        <w:t>Se pone</w:t>
      </w:r>
      <w:r w:rsidR="00D16A2C">
        <w:t xml:space="preserve"> por lo tanto en</w:t>
      </w:r>
      <w:r w:rsidR="001A4E06">
        <w:t xml:space="preserve"> valor el caracter</w:t>
      </w:r>
      <w:r w:rsidR="00CC4FB9">
        <w:t xml:space="preserve"> </w:t>
      </w:r>
      <w:r w:rsidR="00086809">
        <w:t>“</w:t>
      </w:r>
      <w:r w:rsidR="00086809" w:rsidRPr="00CC4FB9">
        <w:rPr>
          <w:b/>
        </w:rPr>
        <w:t>transfonterizo</w:t>
      </w:r>
      <w:r w:rsidR="00086809">
        <w:t>”</w:t>
      </w:r>
      <w:r>
        <w:t xml:space="preserve"> </w:t>
      </w:r>
      <w:r w:rsidR="001A4E06">
        <w:t xml:space="preserve">de las Autopistas del mar y </w:t>
      </w:r>
      <w:r w:rsidR="00DD3EA0" w:rsidRPr="002A3113">
        <w:t xml:space="preserve"> </w:t>
      </w:r>
      <w:r w:rsidR="00086809">
        <w:t xml:space="preserve">es importante </w:t>
      </w:r>
      <w:r w:rsidR="001A4E06">
        <w:t xml:space="preserve">para su </w:t>
      </w:r>
      <w:r w:rsidR="00086809">
        <w:t xml:space="preserve"> cofi</w:t>
      </w:r>
      <w:r w:rsidR="001A4E06">
        <w:t xml:space="preserve">nanciación por </w:t>
      </w:r>
      <w:r w:rsidR="00CC4FB9">
        <w:t xml:space="preserve">el MCE II </w:t>
      </w:r>
      <w:r w:rsidR="001A4E06">
        <w:t xml:space="preserve">, dado que </w:t>
      </w:r>
      <w:r w:rsidR="00CC4FB9">
        <w:t>podría lle</w:t>
      </w:r>
      <w:r w:rsidR="00D77875">
        <w:t xml:space="preserve">gar, bajo </w:t>
      </w:r>
      <w:r w:rsidR="004D7210">
        <w:t>las</w:t>
      </w:r>
      <w:r w:rsidR="00D77875">
        <w:t xml:space="preserve"> condiciones </w:t>
      </w:r>
      <w:r w:rsidR="004D7210">
        <w:t>del artículo 14.2.c) ,</w:t>
      </w:r>
      <w:r w:rsidR="00CC4FB9">
        <w:t>a</w:t>
      </w:r>
      <w:r w:rsidR="00086809">
        <w:t>l 50%</w:t>
      </w:r>
    </w:p>
    <w:p w:rsidR="00086809" w:rsidRDefault="00086809" w:rsidP="00DD3EA0">
      <w:pPr>
        <w:pStyle w:val="Default"/>
        <w:numPr>
          <w:ilvl w:val="0"/>
          <w:numId w:val="2"/>
        </w:numPr>
      </w:pPr>
      <w:r>
        <w:t>En lo que se refiere a las “</w:t>
      </w:r>
      <w:r w:rsidRPr="00086809">
        <w:rPr>
          <w:b/>
        </w:rPr>
        <w:t>secciones que faltan</w:t>
      </w:r>
      <w:r w:rsidR="00D16A2C">
        <w:t xml:space="preserve">”, no se cita </w:t>
      </w:r>
      <w:r>
        <w:t xml:space="preserve"> una nueva línea ferroviaria </w:t>
      </w:r>
      <w:r w:rsidR="004D7210">
        <w:t xml:space="preserve">AVE </w:t>
      </w:r>
      <w:r>
        <w:t>“Pola de Lena-Gijón”.</w:t>
      </w:r>
      <w:r w:rsidR="004D7210">
        <w:t xml:space="preserve"> </w:t>
      </w:r>
      <w:r>
        <w:t>La</w:t>
      </w:r>
      <w:r w:rsidR="00D16A2C">
        <w:t xml:space="preserve"> falta de </w:t>
      </w:r>
      <w:r w:rsidR="00AC2CF8">
        <w:t xml:space="preserve"> </w:t>
      </w:r>
      <w:r>
        <w:t xml:space="preserve"> </w:t>
      </w:r>
      <w:r w:rsidR="00D16A2C">
        <w:t>referencia</w:t>
      </w:r>
      <w:r w:rsidR="004D7210">
        <w:t xml:space="preserve"> en las “secciones que faltan” </w:t>
      </w:r>
      <w:r w:rsidR="001A4E06">
        <w:t>no la excluye de la cofinanciación del MCE II</w:t>
      </w:r>
      <w:r w:rsidR="00A00370">
        <w:t>, pero no permite valorar el proyecto como</w:t>
      </w:r>
      <w:r w:rsidR="004D7210">
        <w:t xml:space="preserve"> “pr</w:t>
      </w:r>
      <w:r w:rsidR="00D16A2C">
        <w:t>ioritario</w:t>
      </w:r>
      <w:r w:rsidR="00AC2CF8">
        <w:t>”</w:t>
      </w:r>
      <w:r w:rsidR="00AC2CF8">
        <w:rPr>
          <w:rStyle w:val="Refdenotaalpie"/>
        </w:rPr>
        <w:footnoteReference w:id="3"/>
      </w:r>
      <w:r w:rsidR="00A8465D">
        <w:t>.</w:t>
      </w:r>
    </w:p>
    <w:p w:rsidR="00A8465D" w:rsidRDefault="004D7210" w:rsidP="00A8465D">
      <w:pPr>
        <w:pStyle w:val="Default"/>
        <w:ind w:left="1428"/>
      </w:pPr>
      <w:r>
        <w:lastRenderedPageBreak/>
        <w:t>E</w:t>
      </w:r>
      <w:r w:rsidR="00A8465D">
        <w:t>n las “</w:t>
      </w:r>
      <w:r w:rsidR="00A8465D" w:rsidRPr="00CC4FB9">
        <w:rPr>
          <w:b/>
        </w:rPr>
        <w:t>secciones que faltan</w:t>
      </w:r>
      <w:r w:rsidR="00A8465D">
        <w:t>”, tanto en el Corredor At</w:t>
      </w:r>
      <w:r w:rsidR="00886FC5">
        <w:t>l</w:t>
      </w:r>
      <w:r w:rsidR="00A8465D">
        <w:t>ántico como en el Mediterráneo, se ha añadido un proyecto llamado ”</w:t>
      </w:r>
      <w:r w:rsidR="00A8465D" w:rsidRPr="00CC4FB9">
        <w:rPr>
          <w:b/>
        </w:rPr>
        <w:t>Interoperabilidad de las líneas ferroviarias no-UIC en la Península ibérica</w:t>
      </w:r>
      <w:r w:rsidR="00D16A2C">
        <w:t xml:space="preserve">” y </w:t>
      </w:r>
      <w:r w:rsidR="00A8465D">
        <w:t xml:space="preserve"> entre las acciones elegibles se añadió la frase “con vistas a incrementar el tráfico de mercancías incluyendo sistemas de cambio automático de ancho de ejes”</w:t>
      </w:r>
      <w:r w:rsidR="00886FC5">
        <w:t>. Tales proyectos podrían recibir también u</w:t>
      </w:r>
      <w:r w:rsidR="00CC4FB9">
        <w:t xml:space="preserve">na tasa de cofinanciación de hasta el </w:t>
      </w:r>
      <w:r w:rsidR="00886FC5">
        <w:t xml:space="preserve"> 50%</w:t>
      </w:r>
      <w:r w:rsidR="00A00370">
        <w:t xml:space="preserve"> </w:t>
      </w:r>
      <w:r w:rsidR="00A00370">
        <w:rPr>
          <w:rStyle w:val="Refdenotaalpie"/>
        </w:rPr>
        <w:footnoteReference w:id="4"/>
      </w:r>
    </w:p>
    <w:p w:rsidR="00886FC5" w:rsidRDefault="00886FC5" w:rsidP="00A8465D">
      <w:pPr>
        <w:pStyle w:val="Default"/>
        <w:ind w:left="1428"/>
      </w:pPr>
    </w:p>
    <w:p w:rsidR="00886FC5" w:rsidRDefault="00886FC5" w:rsidP="00886FC5">
      <w:pPr>
        <w:pStyle w:val="Default"/>
        <w:numPr>
          <w:ilvl w:val="0"/>
          <w:numId w:val="1"/>
        </w:numPr>
      </w:pPr>
      <w:r w:rsidRPr="00A110AA">
        <w:rPr>
          <w:b/>
        </w:rPr>
        <w:t>Dos grandes categorías de acciones elegibles</w:t>
      </w:r>
      <w:r>
        <w:t>: El MCE II distingue dos grandes categorías de acciones elegibles:</w:t>
      </w:r>
    </w:p>
    <w:p w:rsidR="00886FC5" w:rsidRDefault="00886FC5" w:rsidP="00886FC5">
      <w:pPr>
        <w:pStyle w:val="Default"/>
        <w:numPr>
          <w:ilvl w:val="0"/>
          <w:numId w:val="3"/>
        </w:numPr>
      </w:pPr>
      <w:r>
        <w:t>Las que se podrían definir como “</w:t>
      </w:r>
      <w:r w:rsidRPr="00A110AA">
        <w:rPr>
          <w:b/>
        </w:rPr>
        <w:t>Infrestructuras físicas</w:t>
      </w:r>
      <w:r>
        <w:t>”necesarias para desarrollar una red “interoperable” y “multimodal”(redes de carreteras, ferrocarriles, puertos, etc)</w:t>
      </w:r>
    </w:p>
    <w:p w:rsidR="00886FC5" w:rsidRDefault="00886FC5" w:rsidP="00886FC5">
      <w:pPr>
        <w:pStyle w:val="Default"/>
        <w:numPr>
          <w:ilvl w:val="0"/>
          <w:numId w:val="3"/>
        </w:numPr>
      </w:pPr>
      <w:r>
        <w:t>Las que podríamos definir como “</w:t>
      </w:r>
      <w:r w:rsidRPr="00A110AA">
        <w:rPr>
          <w:b/>
        </w:rPr>
        <w:t>Infraestructuras conceptuales</w:t>
      </w:r>
      <w:r>
        <w:t xml:space="preserve">”, tales como </w:t>
      </w:r>
      <w:r w:rsidR="008C1509">
        <w:t xml:space="preserve">las acciones en apoyo de </w:t>
      </w:r>
      <w:r w:rsidR="008C1509" w:rsidRPr="008C1509">
        <w:rPr>
          <w:b/>
        </w:rPr>
        <w:t>las autopistas del mar</w:t>
      </w:r>
      <w:r w:rsidR="008C1509">
        <w:t xml:space="preserve"> (con el foco en SSS transfrontera</w:t>
      </w:r>
      <w:r w:rsidR="00A110AA">
        <w:t xml:space="preserve"> )</w:t>
      </w:r>
      <w:r w:rsidR="008C1509">
        <w:t xml:space="preserve">, </w:t>
      </w:r>
      <w:r>
        <w:t>sistemas de aplicaciones telemáticas, transporte de mercancías sostenible, nuevas tecnologías e innovación,</w:t>
      </w:r>
      <w:r w:rsidR="00A110AA">
        <w:t xml:space="preserve"> </w:t>
      </w:r>
      <w:r>
        <w:t>puntos de suministro de carburantes alternativos</w:t>
      </w:r>
      <w:r w:rsidR="00A110AA">
        <w:t xml:space="preserve"> y otras .</w:t>
      </w:r>
    </w:p>
    <w:p w:rsidR="006B37E7" w:rsidRDefault="008C1509" w:rsidP="006B37E7">
      <w:pPr>
        <w:pStyle w:val="Default"/>
        <w:ind w:left="705"/>
      </w:pPr>
      <w:r>
        <w:t>Con relación a estas dos categoría</w:t>
      </w:r>
      <w:r w:rsidR="00A00370">
        <w:t>s,</w:t>
      </w:r>
      <w:r>
        <w:t xml:space="preserve"> se prevé destinar el </w:t>
      </w:r>
      <w:r w:rsidRPr="00A110AA">
        <w:rPr>
          <w:b/>
        </w:rPr>
        <w:t>60%</w:t>
      </w:r>
      <w:r>
        <w:t xml:space="preserve"> del presupuesto del MCE II</w:t>
      </w:r>
      <w:r w:rsidR="006B37E7">
        <w:rPr>
          <w:rStyle w:val="Refdenotaalpie"/>
        </w:rPr>
        <w:footnoteReference w:id="5"/>
      </w:r>
      <w:r>
        <w:t xml:space="preserve">  ( € 18.369 millones) a las “Infraestructuras físicas” y el </w:t>
      </w:r>
      <w:r w:rsidRPr="00A110AA">
        <w:rPr>
          <w:b/>
        </w:rPr>
        <w:t>40%</w:t>
      </w:r>
      <w:r>
        <w:t xml:space="preserve"> (€ 12.246 millones ) a las infraestructuras conceptuales</w:t>
      </w:r>
      <w:r w:rsidR="006B37E7">
        <w:t>.</w:t>
      </w:r>
      <w:r w:rsidR="00A110AA">
        <w:t xml:space="preserve"> La cantidad indicada para el segundo tipo de acciones es significativamente elevada, lo cual indica q</w:t>
      </w:r>
      <w:r w:rsidR="00D77875">
        <w:t xml:space="preserve">ue la Unión europea quiere dar </w:t>
      </w:r>
      <w:r w:rsidR="00A110AA">
        <w:t>gran importancia a</w:t>
      </w:r>
      <w:r w:rsidR="00D77875">
        <w:t xml:space="preserve"> </w:t>
      </w:r>
      <w:r w:rsidR="00A110AA">
        <w:t>l</w:t>
      </w:r>
      <w:r w:rsidR="00D77875">
        <w:t xml:space="preserve">a optimización del uso </w:t>
      </w:r>
      <w:r w:rsidR="00A110AA">
        <w:t xml:space="preserve"> de las infraestructuras físicas</w:t>
      </w:r>
      <w:r w:rsidR="00A110AA">
        <w:rPr>
          <w:rStyle w:val="Refdenotaalpie"/>
        </w:rPr>
        <w:footnoteReference w:id="6"/>
      </w:r>
    </w:p>
    <w:p w:rsidR="008C1509" w:rsidRDefault="006B37E7" w:rsidP="006B37E7">
      <w:pPr>
        <w:pStyle w:val="Default"/>
        <w:ind w:left="705"/>
      </w:pPr>
      <w:r>
        <w:t>Por otr</w:t>
      </w:r>
      <w:r w:rsidR="00A110AA">
        <w:t xml:space="preserve">a parte , el MCE II introduce el nuevo concepto de </w:t>
      </w:r>
      <w:r>
        <w:t xml:space="preserve"> </w:t>
      </w:r>
      <w:r w:rsidRPr="00A110AA">
        <w:rPr>
          <w:b/>
        </w:rPr>
        <w:t>uso dual civil-militar</w:t>
      </w:r>
      <w:r>
        <w:t xml:space="preserve"> de las infraestructuras </w:t>
      </w:r>
      <w:r>
        <w:rPr>
          <w:rStyle w:val="Refdenotaalpie"/>
        </w:rPr>
        <w:footnoteReference w:id="7"/>
      </w:r>
      <w:r>
        <w:t xml:space="preserve"> </w:t>
      </w:r>
    </w:p>
    <w:p w:rsidR="006B37E7" w:rsidRDefault="006B37E7" w:rsidP="006B37E7">
      <w:pPr>
        <w:pStyle w:val="Default"/>
        <w:ind w:left="705"/>
      </w:pPr>
    </w:p>
    <w:p w:rsidR="006B37E7" w:rsidRDefault="00A00370" w:rsidP="006B37E7">
      <w:pPr>
        <w:pStyle w:val="Default"/>
        <w:ind w:left="705"/>
      </w:pPr>
      <w:r>
        <w:t>Las dos categorías de infraestructuras, física y conceptual,</w:t>
      </w:r>
      <w:r w:rsidR="006B37E7">
        <w:t xml:space="preserve"> son importantes para Asturias, porque se potencian las “</w:t>
      </w:r>
      <w:r w:rsidR="006B37E7" w:rsidRPr="00A110AA">
        <w:rPr>
          <w:b/>
        </w:rPr>
        <w:t>autopistas del mar</w:t>
      </w:r>
      <w:r w:rsidR="006B37E7">
        <w:t>” y porque el uso dual ci</w:t>
      </w:r>
      <w:r w:rsidR="00A110AA">
        <w:t>vil-militar puede contribuir a</w:t>
      </w:r>
      <w:r w:rsidR="006B37E7">
        <w:t xml:space="preserve"> eliminar las barreras (gálibos y otras) para desarrollar las “</w:t>
      </w:r>
      <w:r w:rsidR="006B37E7" w:rsidRPr="00A110AA">
        <w:rPr>
          <w:b/>
        </w:rPr>
        <w:t>autopistas ferroviarias</w:t>
      </w:r>
      <w:r w:rsidR="006B37E7">
        <w:t>”</w:t>
      </w:r>
      <w:r w:rsidR="006B37E7">
        <w:rPr>
          <w:rStyle w:val="Refdenotaalpie"/>
        </w:rPr>
        <w:footnoteReference w:id="8"/>
      </w:r>
      <w:r w:rsidR="00E407FC">
        <w:t>.</w:t>
      </w:r>
    </w:p>
    <w:p w:rsidR="00E407FC" w:rsidRDefault="00E407FC" w:rsidP="006B37E7">
      <w:pPr>
        <w:pStyle w:val="Default"/>
        <w:ind w:left="705"/>
      </w:pPr>
      <w:r>
        <w:lastRenderedPageBreak/>
        <w:t>Muchas acciones, en particular “</w:t>
      </w:r>
      <w:r w:rsidRPr="00A110AA">
        <w:rPr>
          <w:b/>
        </w:rPr>
        <w:t>puertos marítimos</w:t>
      </w:r>
      <w:r w:rsidR="00AC2CF8">
        <w:t>” son preferent</w:t>
      </w:r>
      <w:r>
        <w:t xml:space="preserve">es </w:t>
      </w:r>
      <w:r w:rsidR="00AC2CF8">
        <w:t xml:space="preserve">también </w:t>
      </w:r>
      <w:r>
        <w:t>para la “red global” y ello es importante para el puerto de Avilés.</w:t>
      </w:r>
    </w:p>
    <w:p w:rsidR="00E407FC" w:rsidRDefault="00E407FC" w:rsidP="006B37E7">
      <w:pPr>
        <w:pStyle w:val="Default"/>
        <w:ind w:left="705"/>
      </w:pPr>
      <w:r>
        <w:t>Finalmente,</w:t>
      </w:r>
      <w:r w:rsidR="00A110AA">
        <w:t xml:space="preserve"> </w:t>
      </w:r>
      <w:r>
        <w:t xml:space="preserve">los indicadores del MCE II valoran la </w:t>
      </w:r>
      <w:r w:rsidR="00AC2CF8">
        <w:rPr>
          <w:b/>
        </w:rPr>
        <w:t>sinérgi</w:t>
      </w:r>
      <w:r w:rsidRPr="00A110AA">
        <w:rPr>
          <w:b/>
        </w:rPr>
        <w:t>a</w:t>
      </w:r>
      <w:r>
        <w:t xml:space="preserve"> entre distintos tipos de acciones. Podrí</w:t>
      </w:r>
      <w:r w:rsidR="00AC2CF8">
        <w:t>a pensarse, por ejemplo, en sinérgi</w:t>
      </w:r>
      <w:r>
        <w:t>as del tipo autopistas ferroviaris + autopistas del mar+ ZALIA +conectividad digital+</w:t>
      </w:r>
      <w:r w:rsidR="00A110AA">
        <w:t>puertos 4.0. E</w:t>
      </w:r>
      <w:r>
        <w:t xml:space="preserve">n definitiva, que es preciso plantear estrategias de movilidad en lugar de proyectos </w:t>
      </w:r>
      <w:r w:rsidR="00A110AA">
        <w:t xml:space="preserve">de infraestructura </w:t>
      </w:r>
      <w:r>
        <w:t>aislados</w:t>
      </w:r>
      <w:r w:rsidR="00A110AA">
        <w:t>.</w:t>
      </w:r>
    </w:p>
    <w:p w:rsidR="00A110AA" w:rsidRDefault="00A110AA" w:rsidP="006B37E7">
      <w:pPr>
        <w:pStyle w:val="Default"/>
        <w:ind w:left="705"/>
      </w:pPr>
    </w:p>
    <w:p w:rsidR="00D77875" w:rsidRDefault="00D77875" w:rsidP="00A110AA">
      <w:pPr>
        <w:pStyle w:val="Ttulo2"/>
      </w:pPr>
    </w:p>
    <w:p w:rsidR="00D77875" w:rsidRDefault="00D77875" w:rsidP="00A110AA">
      <w:pPr>
        <w:pStyle w:val="Ttulo2"/>
      </w:pPr>
    </w:p>
    <w:p w:rsidR="00D77875" w:rsidRDefault="00D77875" w:rsidP="00A110AA">
      <w:pPr>
        <w:pStyle w:val="Ttulo2"/>
      </w:pPr>
    </w:p>
    <w:p w:rsidR="008C1509" w:rsidRDefault="008C1509" w:rsidP="008C1509">
      <w:pPr>
        <w:pStyle w:val="Default"/>
      </w:pPr>
      <w:r>
        <w:tab/>
      </w:r>
    </w:p>
    <w:p w:rsidR="00086809" w:rsidRPr="002A3113" w:rsidRDefault="00086809" w:rsidP="00886FC5">
      <w:pPr>
        <w:pStyle w:val="Default"/>
        <w:ind w:left="1428"/>
      </w:pPr>
    </w:p>
    <w:sectPr w:rsidR="00086809" w:rsidRPr="002A3113" w:rsidSect="00B03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2D" w:rsidRDefault="0096252D" w:rsidP="006B37E7">
      <w:pPr>
        <w:spacing w:after="0" w:line="240" w:lineRule="auto"/>
      </w:pPr>
      <w:r>
        <w:separator/>
      </w:r>
    </w:p>
  </w:endnote>
  <w:endnote w:type="continuationSeparator" w:id="1">
    <w:p w:rsidR="0096252D" w:rsidRDefault="0096252D" w:rsidP="006B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2D" w:rsidRDefault="0096252D" w:rsidP="006B37E7">
      <w:pPr>
        <w:spacing w:after="0" w:line="240" w:lineRule="auto"/>
      </w:pPr>
      <w:r>
        <w:separator/>
      </w:r>
    </w:p>
  </w:footnote>
  <w:footnote w:type="continuationSeparator" w:id="1">
    <w:p w:rsidR="0096252D" w:rsidRDefault="0096252D" w:rsidP="006B37E7">
      <w:pPr>
        <w:spacing w:after="0" w:line="240" w:lineRule="auto"/>
      </w:pPr>
      <w:r>
        <w:continuationSeparator/>
      </w:r>
    </w:p>
  </w:footnote>
  <w:footnote w:id="2">
    <w:p w:rsidR="00D77875" w:rsidRDefault="00D77875">
      <w:pPr>
        <w:pStyle w:val="Textonotapie"/>
      </w:pPr>
      <w:r>
        <w:rPr>
          <w:rStyle w:val="Refdenotaalpie"/>
        </w:rPr>
        <w:footnoteRef/>
      </w:r>
      <w:r>
        <w:t xml:space="preserve"> El concepto cross border había sido hasta ahora transnacional </w:t>
      </w:r>
      <w:r w:rsidR="00AC2CF8">
        <w:t>y por primera vez figura transregional</w:t>
      </w:r>
    </w:p>
  </w:footnote>
  <w:footnote w:id="3">
    <w:p w:rsidR="00AC2CF8" w:rsidRDefault="00AC2CF8">
      <w:pPr>
        <w:pStyle w:val="Textonotapie"/>
      </w:pPr>
      <w:r>
        <w:rPr>
          <w:rStyle w:val="Refdenotaalpie"/>
        </w:rPr>
        <w:footnoteRef/>
      </w:r>
      <w:r>
        <w:t xml:space="preserve"> Contrasta con el Corredor Mediterráneo, en el que se incluye como sección que falta el ferrocarril Almería- Murcia y como sección transfronteriza la línea ferroviaria Barcelona-Perpignan. Esta última es llamativa, puesto que existe una línea de alta capacidad (AVE+mercancías) de construcción muy reciente y </w:t>
      </w:r>
      <w:r w:rsidR="00B40CAF">
        <w:t>con baja circulación</w:t>
      </w:r>
    </w:p>
  </w:footnote>
  <w:footnote w:id="4">
    <w:p w:rsidR="00A00370" w:rsidRDefault="00A00370" w:rsidP="00A00370">
      <w:pPr>
        <w:pStyle w:val="Textonotapie"/>
      </w:pPr>
      <w:r>
        <w:rPr>
          <w:rStyle w:val="Refdenotaalpie"/>
        </w:rPr>
        <w:footnoteRef/>
      </w:r>
      <w:r>
        <w:t xml:space="preserve"> La instalación del triple hilo en una de las dos vías es la solución que se aplica en varios tramos del Corredor Mediterráneo y ADIF tiene gran experiencia</w:t>
      </w:r>
    </w:p>
    <w:p w:rsidR="00A00370" w:rsidRDefault="00A00370" w:rsidP="00A00370">
      <w:pPr>
        <w:pStyle w:val="Textonotapie"/>
      </w:pPr>
      <w:r>
        <w:rPr>
          <w:rStyle w:val="Refdenotaalpie"/>
        </w:rPr>
        <w:footnoteRef/>
      </w:r>
      <w:r>
        <w:t xml:space="preserve"> La propuesta del MCE II sobre ”</w:t>
      </w:r>
      <w:r w:rsidRPr="00CC4FB9">
        <w:rPr>
          <w:b/>
        </w:rPr>
        <w:t>Interoperabilidad de las líneas ferroviarias no-UIC en la Península ibérica</w:t>
      </w:r>
      <w:r>
        <w:t>”  “con vistas a incrementar el tráfico de mercancías incluyendo sistemas de cambio automático de a</w:t>
      </w:r>
      <w:r w:rsidR="00D16A2C">
        <w:t>ncho de ejes”, que con gran probabilidad</w:t>
      </w:r>
      <w:r>
        <w:t xml:space="preserve"> introdujo España, podría tener por objetivo potenciar el sistema OGI de cambio de ancho de ejes en vagones de mercancías. Tal sistema  no conviene a Asturias, porque no es válido para locomotoras, requiere un nuevo  parque de vagones  y porque limita la capacidad de los túneles de Pajares, dado que aumenta 2 ton el peso muerto de cada vagón para unos túneles con pendiente elevada (hasta 20 por 100</w:t>
      </w:r>
      <w:r w:rsidR="00B40CAF">
        <w:t>0</w:t>
      </w:r>
      <w:r>
        <w:t>)</w:t>
      </w:r>
      <w:r w:rsidR="00D16A2C">
        <w:t xml:space="preserve">.En el caso de Asturias, parece preferible prolongar </w:t>
      </w:r>
      <w:r w:rsidR="007D2A26">
        <w:t xml:space="preserve">hasta Gijón/Avilés </w:t>
      </w:r>
      <w:r w:rsidR="00B40CAF">
        <w:t>el triple hilo</w:t>
      </w:r>
      <w:r w:rsidR="00D16A2C">
        <w:t xml:space="preserve"> que actualmente se instala en la vía este entre León y </w:t>
      </w:r>
      <w:r w:rsidR="007D2A26">
        <w:t>Pola de Lena</w:t>
      </w:r>
      <w:r w:rsidR="00D16A2C">
        <w:t>, con</w:t>
      </w:r>
      <w:r w:rsidR="007D2A26">
        <w:t xml:space="preserve"> l</w:t>
      </w:r>
      <w:r w:rsidR="00D16A2C">
        <w:t xml:space="preserve">o cual pueden circular trenes </w:t>
      </w:r>
      <w:r w:rsidR="00B40CAF">
        <w:t xml:space="preserve">desde Asturias </w:t>
      </w:r>
      <w:r w:rsidR="00D16A2C">
        <w:t>hacia Francia (ancho estándar) o al resto de la Península (ancho ibérico)</w:t>
      </w:r>
    </w:p>
  </w:footnote>
  <w:footnote w:id="5">
    <w:p w:rsidR="006B37E7" w:rsidRDefault="006B37E7">
      <w:pPr>
        <w:pStyle w:val="Textonotapie"/>
      </w:pPr>
      <w:r>
        <w:rPr>
          <w:rStyle w:val="Refdenotaalpie"/>
        </w:rPr>
        <w:footnoteRef/>
      </w:r>
      <w:r>
        <w:t xml:space="preserve"> Presupuesto provisional, que queda sujeto al Brexit y a la negociación de las “perspectivas financieras” que completará el Parlamento europeo que surja de las elecciones del 26 de mayo de 2019</w:t>
      </w:r>
    </w:p>
  </w:footnote>
  <w:footnote w:id="6">
    <w:p w:rsidR="00A110AA" w:rsidRDefault="00A110AA">
      <w:pPr>
        <w:pStyle w:val="Textonotapie"/>
      </w:pPr>
      <w:r>
        <w:rPr>
          <w:rStyle w:val="Refdenotaalpie"/>
        </w:rPr>
        <w:footnoteRef/>
      </w:r>
      <w:r>
        <w:t xml:space="preserve"> Redes inteligentes con menos hormigón </w:t>
      </w:r>
    </w:p>
  </w:footnote>
  <w:footnote w:id="7">
    <w:p w:rsidR="006B37E7" w:rsidRDefault="006B37E7">
      <w:pPr>
        <w:pStyle w:val="Textonotapie"/>
      </w:pPr>
      <w:r>
        <w:rPr>
          <w:rStyle w:val="Refdenotaalpie"/>
        </w:rPr>
        <w:footnoteRef/>
      </w:r>
      <w:r>
        <w:t xml:space="preserve"> Tal vez sea el pago para financiar el MCE II con hasta € 6.500 millones del “cluster” de defensa</w:t>
      </w:r>
    </w:p>
  </w:footnote>
  <w:footnote w:id="8">
    <w:p w:rsidR="006B37E7" w:rsidRDefault="006B37E7">
      <w:pPr>
        <w:pStyle w:val="Textonotapie"/>
      </w:pPr>
      <w:r>
        <w:rPr>
          <w:rStyle w:val="Refdenotaalpie"/>
        </w:rPr>
        <w:footnoteRef/>
      </w:r>
      <w:r>
        <w:t xml:space="preserve"> Transporte de vehículos pesados montados sobre plataformas ferroviarias.</w:t>
      </w:r>
      <w:r w:rsidR="00E407FC">
        <w:t xml:space="preserve"> </w:t>
      </w:r>
      <w:r>
        <w:t xml:space="preserve">El Ministerio de Fomento lanzó un concurso público para lanzar este tipo de autopistas y ya entró en funcionamiento la línea Barcelona-centro de </w:t>
      </w:r>
      <w:r w:rsidR="00E407FC">
        <w:t>E</w:t>
      </w:r>
      <w:r>
        <w:t>uropa</w:t>
      </w:r>
      <w:r w:rsidR="00E407FC">
        <w:t>. Está prevista la línea Vitoria- Francia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68"/>
    <w:multiLevelType w:val="hybridMultilevel"/>
    <w:tmpl w:val="382E9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94F43"/>
    <w:multiLevelType w:val="hybridMultilevel"/>
    <w:tmpl w:val="E968E3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A87028"/>
    <w:multiLevelType w:val="hybridMultilevel"/>
    <w:tmpl w:val="13F4DA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03"/>
    <w:rsid w:val="00086809"/>
    <w:rsid w:val="001A4E06"/>
    <w:rsid w:val="001F1F1D"/>
    <w:rsid w:val="00291EB8"/>
    <w:rsid w:val="002A3113"/>
    <w:rsid w:val="002F4CA1"/>
    <w:rsid w:val="00413595"/>
    <w:rsid w:val="004D7210"/>
    <w:rsid w:val="005715D2"/>
    <w:rsid w:val="005C16F6"/>
    <w:rsid w:val="0063468C"/>
    <w:rsid w:val="006946A3"/>
    <w:rsid w:val="006B37E7"/>
    <w:rsid w:val="006C2F03"/>
    <w:rsid w:val="007D2A26"/>
    <w:rsid w:val="0083727F"/>
    <w:rsid w:val="00886FC5"/>
    <w:rsid w:val="008C1509"/>
    <w:rsid w:val="008E1339"/>
    <w:rsid w:val="0096252D"/>
    <w:rsid w:val="00A00370"/>
    <w:rsid w:val="00A110AA"/>
    <w:rsid w:val="00A75C76"/>
    <w:rsid w:val="00A8465D"/>
    <w:rsid w:val="00AC2CF8"/>
    <w:rsid w:val="00B03354"/>
    <w:rsid w:val="00B40CAF"/>
    <w:rsid w:val="00B45C09"/>
    <w:rsid w:val="00B62E8C"/>
    <w:rsid w:val="00C57A22"/>
    <w:rsid w:val="00C76A5B"/>
    <w:rsid w:val="00C85FB5"/>
    <w:rsid w:val="00CA7829"/>
    <w:rsid w:val="00CC4FB9"/>
    <w:rsid w:val="00D105B4"/>
    <w:rsid w:val="00D16A2C"/>
    <w:rsid w:val="00D77875"/>
    <w:rsid w:val="00DD0133"/>
    <w:rsid w:val="00DD3EA0"/>
    <w:rsid w:val="00E36603"/>
    <w:rsid w:val="00E407FC"/>
    <w:rsid w:val="00EB47CA"/>
    <w:rsid w:val="00EC5A8F"/>
    <w:rsid w:val="00F1376B"/>
    <w:rsid w:val="00F5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54"/>
  </w:style>
  <w:style w:type="paragraph" w:styleId="Ttulo1">
    <w:name w:val="heading 1"/>
    <w:basedOn w:val="Normal"/>
    <w:next w:val="Normal"/>
    <w:link w:val="Ttulo1Car"/>
    <w:uiPriority w:val="9"/>
    <w:qFormat/>
    <w:rsid w:val="00E36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3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6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A3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A3113"/>
    <w:pPr>
      <w:ind w:left="720"/>
      <w:contextualSpacing/>
    </w:pPr>
  </w:style>
  <w:style w:type="paragraph" w:customStyle="1" w:styleId="Default">
    <w:name w:val="Default"/>
    <w:rsid w:val="00DD3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37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7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37E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57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E203-5F55-43B0-8FD3-1BCE01C9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DesktopPC</dc:creator>
  <cp:lastModifiedBy>DesktopPC</cp:lastModifiedBy>
  <cp:revision>7</cp:revision>
  <dcterms:created xsi:type="dcterms:W3CDTF">2019-05-07T12:15:00Z</dcterms:created>
  <dcterms:modified xsi:type="dcterms:W3CDTF">2019-05-07T13:16:00Z</dcterms:modified>
</cp:coreProperties>
</file>