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C" w:rsidRPr="00CD2A70" w:rsidRDefault="002615C9" w:rsidP="002615C9">
      <w:pPr>
        <w:pStyle w:val="Standard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>
        <w:rPr>
          <w:rFonts w:ascii="Verdana" w:hAnsi="Verdana"/>
          <w:b/>
          <w:bCs/>
          <w:sz w:val="22"/>
          <w:szCs w:val="22"/>
          <w:u w:val="single"/>
          <w:lang w:val="en-US"/>
        </w:rPr>
        <w:t>P</w:t>
      </w:r>
      <w:r w:rsidR="00DF3CC2">
        <w:rPr>
          <w:rFonts w:ascii="Verdana" w:hAnsi="Verdana"/>
          <w:b/>
          <w:bCs/>
          <w:sz w:val="22"/>
          <w:szCs w:val="22"/>
          <w:u w:val="single"/>
          <w:lang w:val="en-US"/>
        </w:rPr>
        <w:t xml:space="preserve">otential </w:t>
      </w:r>
      <w:r w:rsidR="007370B5">
        <w:rPr>
          <w:rFonts w:ascii="Verdana" w:hAnsi="Verdana"/>
          <w:b/>
          <w:bCs/>
          <w:sz w:val="22"/>
          <w:szCs w:val="22"/>
          <w:u w:val="single"/>
          <w:lang w:val="en-US"/>
        </w:rPr>
        <w:t>a</w:t>
      </w:r>
      <w:r w:rsidR="00027517">
        <w:rPr>
          <w:rFonts w:ascii="Verdana" w:hAnsi="Verdana"/>
          <w:b/>
          <w:bCs/>
          <w:sz w:val="22"/>
          <w:szCs w:val="22"/>
          <w:u w:val="single"/>
          <w:lang w:val="en-US"/>
        </w:rPr>
        <w:t xml:space="preserve">ctions </w:t>
      </w:r>
      <w:r w:rsidR="00DF3CC2">
        <w:rPr>
          <w:rFonts w:ascii="Verdana" w:hAnsi="Verdana"/>
          <w:b/>
          <w:bCs/>
          <w:sz w:val="22"/>
          <w:szCs w:val="22"/>
          <w:u w:val="single"/>
          <w:lang w:val="en-US"/>
        </w:rPr>
        <w:t xml:space="preserve">on </w:t>
      </w:r>
      <w:r w:rsidR="00CD2A70">
        <w:rPr>
          <w:rFonts w:ascii="Verdana" w:hAnsi="Verdana"/>
          <w:b/>
          <w:bCs/>
          <w:sz w:val="22"/>
          <w:szCs w:val="22"/>
          <w:u w:val="single"/>
          <w:lang w:val="en-US"/>
        </w:rPr>
        <w:t>tunnels safety and security</w:t>
      </w:r>
    </w:p>
    <w:p w:rsidR="008144DC" w:rsidRPr="00CD2A70" w:rsidRDefault="008144DC" w:rsidP="00CD2A70">
      <w:pPr>
        <w:pStyle w:val="Standard"/>
        <w:jc w:val="both"/>
        <w:rPr>
          <w:rFonts w:ascii="Verdana" w:hAnsi="Verdana"/>
          <w:sz w:val="22"/>
          <w:szCs w:val="22"/>
          <w:lang w:val="en-US"/>
        </w:rPr>
      </w:pPr>
    </w:p>
    <w:p w:rsidR="00CD2A70" w:rsidRPr="00CD2A70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sz w:val="20"/>
          <w:szCs w:val="20"/>
          <w:lang w:val="en-US"/>
        </w:rPr>
        <w:t>The European Commission offer</w:t>
      </w:r>
      <w:r w:rsidR="00CD2A70" w:rsidRPr="00CD2A70">
        <w:rPr>
          <w:rFonts w:ascii="Verdana" w:hAnsi="Verdana"/>
          <w:sz w:val="20"/>
          <w:szCs w:val="20"/>
          <w:lang w:val="en-US"/>
        </w:rPr>
        <w:t>s</w:t>
      </w:r>
      <w:r w:rsidRPr="00CD2A70">
        <w:rPr>
          <w:rFonts w:ascii="Verdana" w:hAnsi="Verdana"/>
          <w:sz w:val="20"/>
          <w:szCs w:val="20"/>
          <w:lang w:val="en-US"/>
        </w:rPr>
        <w:t xml:space="preserve"> </w:t>
      </w:r>
      <w:r w:rsidR="00CD2A70">
        <w:rPr>
          <w:rFonts w:ascii="Verdana" w:hAnsi="Verdana"/>
          <w:sz w:val="20"/>
          <w:szCs w:val="20"/>
          <w:lang w:val="en-US"/>
        </w:rPr>
        <w:t xml:space="preserve">currently </w:t>
      </w:r>
      <w:r w:rsidRPr="00CD2A70">
        <w:rPr>
          <w:rFonts w:ascii="Verdana" w:hAnsi="Verdana"/>
          <w:sz w:val="20"/>
          <w:szCs w:val="20"/>
          <w:lang w:val="en-US"/>
        </w:rPr>
        <w:t>two op</w:t>
      </w:r>
      <w:r w:rsidR="00CD2A70" w:rsidRPr="00CD2A70">
        <w:rPr>
          <w:rFonts w:ascii="Verdana" w:hAnsi="Verdana"/>
          <w:sz w:val="20"/>
          <w:szCs w:val="20"/>
          <w:lang w:val="en-US"/>
        </w:rPr>
        <w:t>p</w:t>
      </w:r>
      <w:r w:rsidRPr="00CD2A70">
        <w:rPr>
          <w:rFonts w:ascii="Verdana" w:hAnsi="Verdana"/>
          <w:sz w:val="20"/>
          <w:szCs w:val="20"/>
          <w:lang w:val="en-US"/>
        </w:rPr>
        <w:t xml:space="preserve">ortunities </w:t>
      </w:r>
      <w:r w:rsidR="00CD2A70" w:rsidRPr="00CD2A70">
        <w:rPr>
          <w:rFonts w:ascii="Verdana" w:hAnsi="Verdana"/>
          <w:sz w:val="20"/>
          <w:szCs w:val="20"/>
          <w:lang w:val="en-US"/>
        </w:rPr>
        <w:t xml:space="preserve">for financing </w:t>
      </w:r>
      <w:r w:rsidRPr="00CD2A70">
        <w:rPr>
          <w:rFonts w:ascii="Verdana" w:hAnsi="Verdana"/>
          <w:sz w:val="20"/>
          <w:szCs w:val="20"/>
          <w:lang w:val="en-US"/>
        </w:rPr>
        <w:t xml:space="preserve">projects </w:t>
      </w:r>
      <w:r w:rsidR="00CD2A70" w:rsidRPr="00CD2A70">
        <w:rPr>
          <w:rFonts w:ascii="Verdana" w:hAnsi="Verdana"/>
          <w:sz w:val="20"/>
          <w:szCs w:val="20"/>
          <w:lang w:val="en-US"/>
        </w:rPr>
        <w:t xml:space="preserve">related to safety and security </w:t>
      </w:r>
      <w:r w:rsidR="00CD2A70">
        <w:rPr>
          <w:rFonts w:ascii="Verdana" w:hAnsi="Verdana"/>
          <w:sz w:val="20"/>
          <w:szCs w:val="20"/>
          <w:lang w:val="en-US"/>
        </w:rPr>
        <w:t xml:space="preserve">in </w:t>
      </w:r>
      <w:r w:rsidRPr="00CD2A70">
        <w:rPr>
          <w:rFonts w:ascii="Verdana" w:hAnsi="Verdana"/>
          <w:sz w:val="20"/>
          <w:szCs w:val="20"/>
          <w:lang w:val="en-US"/>
        </w:rPr>
        <w:t>transport tunnels</w:t>
      </w:r>
      <w:r w:rsidR="00CD2A70">
        <w:rPr>
          <w:rFonts w:ascii="Verdana" w:hAnsi="Verdana"/>
          <w:sz w:val="20"/>
          <w:szCs w:val="20"/>
          <w:lang w:val="en-US"/>
        </w:rPr>
        <w:t>:</w:t>
      </w:r>
    </w:p>
    <w:p w:rsidR="00CD2A70" w:rsidRPr="00CD2A70" w:rsidRDefault="00CD2A70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144DC" w:rsidRPr="00CD2A70" w:rsidRDefault="00CD2A70" w:rsidP="006E5160">
      <w:pPr>
        <w:pStyle w:val="Standard"/>
        <w:spacing w:before="120" w:after="120" w:line="312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CD2A7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1) </w:t>
      </w:r>
      <w:r w:rsidR="008144DC" w:rsidRPr="00CD2A70">
        <w:rPr>
          <w:rFonts w:ascii="Verdana" w:hAnsi="Verdana"/>
          <w:b/>
          <w:bCs/>
          <w:sz w:val="20"/>
          <w:szCs w:val="20"/>
          <w:u w:val="single"/>
          <w:lang w:val="en-US"/>
        </w:rPr>
        <w:t>T</w:t>
      </w:r>
      <w:r w:rsidR="006E5160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he CONNECTING EUROPE FACILITY </w:t>
      </w:r>
      <w:r w:rsidR="008144DC" w:rsidRPr="00CD2A70">
        <w:rPr>
          <w:rFonts w:ascii="Verdana" w:hAnsi="Verdana"/>
          <w:b/>
          <w:bCs/>
          <w:sz w:val="20"/>
          <w:szCs w:val="20"/>
          <w:u w:val="single"/>
          <w:lang w:val="en-US"/>
        </w:rPr>
        <w:t>(CEF)</w:t>
      </w:r>
    </w:p>
    <w:p w:rsidR="006E5160" w:rsidRPr="006E5160" w:rsidRDefault="006E5160" w:rsidP="006E5160">
      <w:pPr>
        <w:pStyle w:val="Standard"/>
        <w:spacing w:before="120" w:after="120" w:line="312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E5160">
        <w:rPr>
          <w:rFonts w:ascii="Verdana" w:hAnsi="Verdana"/>
          <w:b/>
          <w:bCs/>
          <w:sz w:val="20"/>
          <w:szCs w:val="20"/>
          <w:u w:val="single"/>
          <w:lang w:val="en-US"/>
        </w:rPr>
        <w:t>Background</w:t>
      </w:r>
    </w:p>
    <w:p w:rsidR="00CD2A70" w:rsidRDefault="00CD2A70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bCs/>
          <w:sz w:val="20"/>
          <w:szCs w:val="20"/>
          <w:lang w:val="en-US"/>
        </w:rPr>
        <w:t>This is the</w:t>
      </w:r>
      <w:r w:rsidRPr="00CD2A7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CD2A70">
        <w:rPr>
          <w:rFonts w:ascii="Verdana" w:hAnsi="Verdana"/>
          <w:sz w:val="20"/>
          <w:szCs w:val="20"/>
          <w:lang w:val="en-US"/>
        </w:rPr>
        <w:t>financial facility for the development of the Trans</w:t>
      </w:r>
      <w:r w:rsidR="00DF3CC2">
        <w:rPr>
          <w:rFonts w:ascii="Verdana" w:hAnsi="Verdana"/>
          <w:sz w:val="20"/>
          <w:szCs w:val="20"/>
          <w:lang w:val="en-US"/>
        </w:rPr>
        <w:t>-E</w:t>
      </w:r>
      <w:r w:rsidRPr="00CD2A70">
        <w:rPr>
          <w:rFonts w:ascii="Verdana" w:hAnsi="Verdana"/>
          <w:sz w:val="20"/>
          <w:szCs w:val="20"/>
          <w:lang w:val="en-US"/>
        </w:rPr>
        <w:t>uropean Transport Network (TEN-T)</w:t>
      </w:r>
      <w:r>
        <w:rPr>
          <w:rFonts w:ascii="Verdana" w:hAnsi="Verdana"/>
          <w:sz w:val="20"/>
          <w:szCs w:val="20"/>
          <w:lang w:val="en-US"/>
        </w:rPr>
        <w:t>.</w:t>
      </w:r>
      <w:r w:rsidR="007370B5">
        <w:rPr>
          <w:rFonts w:ascii="Verdana" w:hAnsi="Verdana"/>
          <w:sz w:val="20"/>
          <w:szCs w:val="20"/>
          <w:lang w:val="en-US"/>
        </w:rPr>
        <w:t xml:space="preserve"> The TEN-T Guidelines and the CEF are governed by Regulations 1315/2013 and 1316/2013.</w:t>
      </w:r>
    </w:p>
    <w:p w:rsidR="00441E5B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sz w:val="20"/>
          <w:szCs w:val="20"/>
          <w:lang w:val="en-US"/>
        </w:rPr>
        <w:t xml:space="preserve">Last 11 </w:t>
      </w:r>
      <w:r w:rsidR="00CD2A70">
        <w:rPr>
          <w:rFonts w:ascii="Verdana" w:hAnsi="Verdana"/>
          <w:sz w:val="20"/>
          <w:szCs w:val="20"/>
          <w:lang w:val="en-US"/>
        </w:rPr>
        <w:t>S</w:t>
      </w:r>
      <w:r w:rsidRPr="00CD2A70">
        <w:rPr>
          <w:rFonts w:ascii="Verdana" w:hAnsi="Verdana"/>
          <w:sz w:val="20"/>
          <w:szCs w:val="20"/>
          <w:lang w:val="en-US"/>
        </w:rPr>
        <w:t>eptember the European Commission, th</w:t>
      </w:r>
      <w:r w:rsidR="00CD2A70">
        <w:rPr>
          <w:rFonts w:ascii="Verdana" w:hAnsi="Verdana"/>
          <w:sz w:val="20"/>
          <w:szCs w:val="20"/>
          <w:lang w:val="en-US"/>
        </w:rPr>
        <w:t>r</w:t>
      </w:r>
      <w:r w:rsidRPr="00CD2A70">
        <w:rPr>
          <w:rFonts w:ascii="Verdana" w:hAnsi="Verdana"/>
          <w:sz w:val="20"/>
          <w:szCs w:val="20"/>
          <w:lang w:val="en-US"/>
        </w:rPr>
        <w:t>ough the Executive Agency INEA, launch</w:t>
      </w:r>
      <w:r w:rsidR="00CD2A70">
        <w:rPr>
          <w:rFonts w:ascii="Verdana" w:hAnsi="Verdana"/>
          <w:sz w:val="20"/>
          <w:szCs w:val="20"/>
          <w:lang w:val="en-US"/>
        </w:rPr>
        <w:t>ed</w:t>
      </w:r>
      <w:r w:rsidRPr="00CD2A70">
        <w:rPr>
          <w:rFonts w:ascii="Verdana" w:hAnsi="Verdana"/>
          <w:sz w:val="20"/>
          <w:szCs w:val="20"/>
          <w:lang w:val="en-US"/>
        </w:rPr>
        <w:t xml:space="preserve"> a call for pro</w:t>
      </w:r>
      <w:r w:rsidR="00027517">
        <w:rPr>
          <w:rFonts w:ascii="Verdana" w:hAnsi="Verdana"/>
          <w:sz w:val="20"/>
          <w:szCs w:val="20"/>
          <w:lang w:val="en-US"/>
        </w:rPr>
        <w:t xml:space="preserve">posals with a budget of </w:t>
      </w:r>
      <w:r w:rsidRPr="00CD2A70">
        <w:rPr>
          <w:rFonts w:ascii="Verdana" w:hAnsi="Verdana"/>
          <w:sz w:val="20"/>
          <w:szCs w:val="20"/>
          <w:lang w:val="en-US"/>
        </w:rPr>
        <w:t>11</w:t>
      </w:r>
      <w:proofErr w:type="gramStart"/>
      <w:r w:rsidRPr="00CD2A70">
        <w:rPr>
          <w:rFonts w:ascii="Verdana" w:hAnsi="Verdana"/>
          <w:sz w:val="20"/>
          <w:szCs w:val="20"/>
          <w:lang w:val="en-US"/>
        </w:rPr>
        <w:t>,9</w:t>
      </w:r>
      <w:proofErr w:type="gramEnd"/>
      <w:r w:rsidRPr="00CD2A70">
        <w:rPr>
          <w:rFonts w:ascii="Verdana" w:hAnsi="Verdana"/>
          <w:sz w:val="20"/>
          <w:szCs w:val="20"/>
          <w:lang w:val="en-US"/>
        </w:rPr>
        <w:t xml:space="preserve"> billion euro</w:t>
      </w:r>
      <w:r w:rsidR="00441E5B">
        <w:rPr>
          <w:rFonts w:ascii="Verdana" w:hAnsi="Verdana"/>
          <w:sz w:val="20"/>
          <w:szCs w:val="20"/>
          <w:lang w:val="en-US"/>
        </w:rPr>
        <w:t>:</w:t>
      </w:r>
    </w:p>
    <w:p w:rsidR="00441E5B" w:rsidRDefault="0057585A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hyperlink r:id="rId9" w:history="1">
        <w:r w:rsidR="00CD2A70" w:rsidRPr="00441E5B">
          <w:rPr>
            <w:rStyle w:val="Hipervnculo"/>
            <w:rFonts w:ascii="Verdana" w:hAnsi="Verdana"/>
            <w:sz w:val="20"/>
            <w:szCs w:val="20"/>
            <w:lang w:val="en-US"/>
          </w:rPr>
          <w:t>http://inea.ec.europa.eu/en/news__events/newsroom/cef-transport-%80119-billion-to-improve-european-connections.htm</w:t>
        </w:r>
      </w:hyperlink>
      <w:r w:rsidR="00CD2A70" w:rsidRPr="00441E5B">
        <w:rPr>
          <w:rFonts w:ascii="Verdana" w:hAnsi="Verdana"/>
          <w:sz w:val="20"/>
          <w:szCs w:val="20"/>
          <w:lang w:val="en-US"/>
        </w:rPr>
        <w:t>)</w:t>
      </w:r>
    </w:p>
    <w:p w:rsidR="008144DC" w:rsidRPr="00CD2A70" w:rsidRDefault="00CD2A70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Eligible projects are both construction works and studies</w:t>
      </w:r>
      <w:r w:rsidR="00027517">
        <w:rPr>
          <w:rFonts w:ascii="Verdana" w:hAnsi="Verdana"/>
          <w:sz w:val="20"/>
          <w:szCs w:val="20"/>
          <w:lang w:val="en-US"/>
        </w:rPr>
        <w:t xml:space="preserve"> related to the TEN-T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8144DC" w:rsidRPr="00CF421D" w:rsidRDefault="00CF421D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There are two main calls, the “</w:t>
      </w:r>
      <w:hyperlink r:id="rId10" w:history="1">
        <w:r w:rsidR="008144DC" w:rsidRPr="00CF421D">
          <w:rPr>
            <w:rStyle w:val="StrongEmphasis"/>
            <w:rFonts w:ascii="Verdana" w:hAnsi="Verdana"/>
            <w:b w:val="0"/>
            <w:sz w:val="20"/>
            <w:szCs w:val="20"/>
            <w:lang w:val="en-US"/>
          </w:rPr>
          <w:t>Annual Call</w:t>
        </w:r>
      </w:hyperlink>
      <w:r w:rsidRPr="00CF421D">
        <w:rPr>
          <w:rFonts w:ascii="Verdana" w:hAnsi="Verdana"/>
          <w:sz w:val="20"/>
          <w:szCs w:val="20"/>
          <w:lang w:val="en-US"/>
        </w:rPr>
        <w:t>”, and the</w:t>
      </w:r>
      <w:r>
        <w:rPr>
          <w:rFonts w:ascii="Verdana" w:hAnsi="Verdana"/>
          <w:b/>
          <w:sz w:val="20"/>
          <w:szCs w:val="20"/>
          <w:lang w:val="en-US"/>
        </w:rPr>
        <w:t xml:space="preserve"> “</w:t>
      </w:r>
      <w:r w:rsidR="008144DC" w:rsidRPr="00CF421D">
        <w:rPr>
          <w:rFonts w:ascii="Verdana" w:hAnsi="Verdana"/>
          <w:bCs/>
          <w:sz w:val="20"/>
          <w:szCs w:val="20"/>
          <w:lang w:val="en-US"/>
        </w:rPr>
        <w:t>Multiannual Call</w:t>
      </w:r>
      <w:r>
        <w:rPr>
          <w:rFonts w:ascii="Verdana" w:hAnsi="Verdana"/>
          <w:bCs/>
          <w:sz w:val="20"/>
          <w:szCs w:val="20"/>
          <w:lang w:val="en-US"/>
        </w:rPr>
        <w:t>”</w:t>
      </w:r>
      <w:r w:rsidR="008144DC" w:rsidRPr="00CF421D">
        <w:rPr>
          <w:rFonts w:ascii="Verdana" w:hAnsi="Verdana"/>
          <w:sz w:val="20"/>
          <w:szCs w:val="20"/>
          <w:lang w:val="en-US"/>
        </w:rPr>
        <w:t xml:space="preserve"> (MAP)</w:t>
      </w:r>
    </w:p>
    <w:p w:rsidR="008144DC" w:rsidRPr="00CD2A70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sz w:val="20"/>
          <w:szCs w:val="20"/>
          <w:lang w:val="en-US"/>
        </w:rPr>
        <w:t>On the MAP Call there are two interesting op</w:t>
      </w:r>
      <w:r w:rsidR="00CF421D">
        <w:rPr>
          <w:rFonts w:ascii="Verdana" w:hAnsi="Verdana"/>
          <w:sz w:val="20"/>
          <w:szCs w:val="20"/>
          <w:lang w:val="en-US"/>
        </w:rPr>
        <w:t>p</w:t>
      </w:r>
      <w:r w:rsidRPr="00CD2A70">
        <w:rPr>
          <w:rFonts w:ascii="Verdana" w:hAnsi="Verdana"/>
          <w:sz w:val="20"/>
          <w:szCs w:val="20"/>
          <w:lang w:val="en-US"/>
        </w:rPr>
        <w:t>ortunities:</w:t>
      </w:r>
    </w:p>
    <w:p w:rsidR="008144DC" w:rsidRPr="00CF421D" w:rsidRDefault="008144DC" w:rsidP="006E5160">
      <w:pPr>
        <w:pStyle w:val="Standard"/>
        <w:numPr>
          <w:ilvl w:val="0"/>
          <w:numId w:val="3"/>
        </w:numPr>
        <w:spacing w:before="120" w:after="120" w:line="312" w:lineRule="auto"/>
        <w:ind w:left="567" w:hanging="567"/>
        <w:jc w:val="both"/>
        <w:rPr>
          <w:rFonts w:ascii="Verdana" w:hAnsi="Verdana"/>
          <w:sz w:val="20"/>
          <w:szCs w:val="20"/>
          <w:lang w:val="en-US"/>
        </w:rPr>
      </w:pP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The</w:t>
      </w:r>
      <w:r w:rsidRPr="00CF421D">
        <w:rPr>
          <w:rStyle w:val="StrongEmphasis"/>
          <w:rFonts w:ascii="Verdana" w:hAnsi="Verdana"/>
          <w:sz w:val="20"/>
          <w:szCs w:val="20"/>
          <w:lang w:val="en-US"/>
        </w:rPr>
        <w:t xml:space="preserve"> 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topic</w:t>
      </w:r>
      <w:r w:rsidRPr="00CF421D">
        <w:rPr>
          <w:rStyle w:val="StrongEmphasis"/>
          <w:rFonts w:ascii="Verdana" w:hAnsi="Verdana"/>
          <w:sz w:val="20"/>
          <w:szCs w:val="20"/>
          <w:lang w:val="en-US"/>
        </w:rPr>
        <w:t xml:space="preserve"> </w:t>
      </w:r>
      <w:r w:rsidR="00CF421D">
        <w:rPr>
          <w:rStyle w:val="StrongEmphasis"/>
          <w:rFonts w:ascii="Verdana" w:hAnsi="Verdana"/>
          <w:sz w:val="20"/>
          <w:szCs w:val="20"/>
          <w:lang w:val="en-US"/>
        </w:rPr>
        <w:t>“</w:t>
      </w:r>
      <w:r w:rsidRPr="00CF421D">
        <w:rPr>
          <w:rStyle w:val="StrongEmphasis"/>
          <w:rFonts w:ascii="Verdana" w:hAnsi="Verdana"/>
          <w:b w:val="0"/>
          <w:sz w:val="20"/>
          <w:szCs w:val="20"/>
          <w:lang w:val="en-US"/>
        </w:rPr>
        <w:t>Safe and secure infrastructure</w:t>
      </w:r>
      <w:r w:rsidR="00CF421D" w:rsidRPr="00856AFA">
        <w:rPr>
          <w:rStyle w:val="StrongEmphasis"/>
          <w:rFonts w:ascii="Verdana" w:hAnsi="Verdana"/>
          <w:b w:val="0"/>
          <w:sz w:val="20"/>
          <w:szCs w:val="20"/>
          <w:lang w:val="en-US"/>
        </w:rPr>
        <w:t>”</w:t>
      </w:r>
      <w:r w:rsidR="00856AFA" w:rsidRPr="00856AFA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, </w:t>
      </w:r>
      <w:r w:rsidR="00856AFA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under </w:t>
      </w:r>
      <w:r w:rsidR="00856AFA" w:rsidRPr="00856AFA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the </w:t>
      </w:r>
      <w:hyperlink r:id="rId11" w:history="1">
        <w:r w:rsidRPr="00856AFA">
          <w:rPr>
            <w:rStyle w:val="StrongEmphasis"/>
            <w:rFonts w:ascii="Verdana" w:hAnsi="Verdana"/>
            <w:b w:val="0"/>
            <w:sz w:val="20"/>
            <w:szCs w:val="20"/>
            <w:lang w:val="en-US"/>
          </w:rPr>
          <w:t>Funding Objective 2</w:t>
        </w:r>
      </w:hyperlink>
      <w:r w:rsidRPr="00CF421D">
        <w:rPr>
          <w:rFonts w:ascii="Verdana" w:hAnsi="Verdana"/>
          <w:sz w:val="20"/>
          <w:szCs w:val="20"/>
          <w:lang w:val="en-US"/>
        </w:rPr>
        <w:t>,</w:t>
      </w:r>
      <w:r w:rsidR="00CF421D">
        <w:rPr>
          <w:rFonts w:ascii="Verdana" w:hAnsi="Verdana"/>
          <w:sz w:val="20"/>
          <w:szCs w:val="20"/>
          <w:lang w:val="en-US"/>
        </w:rPr>
        <w:t xml:space="preserve"> </w:t>
      </w:r>
      <w:r w:rsidR="00027517">
        <w:rPr>
          <w:rFonts w:ascii="Verdana" w:hAnsi="Verdana"/>
          <w:sz w:val="20"/>
          <w:szCs w:val="20"/>
          <w:lang w:val="en-US"/>
        </w:rPr>
        <w:t xml:space="preserve">which </w:t>
      </w:r>
      <w:r w:rsidR="00856AFA">
        <w:rPr>
          <w:rFonts w:ascii="Verdana" w:hAnsi="Verdana"/>
          <w:sz w:val="20"/>
          <w:szCs w:val="20"/>
          <w:lang w:val="en-US"/>
        </w:rPr>
        <w:t xml:space="preserve">includes </w:t>
      </w:r>
      <w:r w:rsidR="00CF421D">
        <w:rPr>
          <w:rFonts w:ascii="Verdana" w:hAnsi="Verdana"/>
          <w:sz w:val="20"/>
          <w:szCs w:val="20"/>
          <w:lang w:val="en-US"/>
        </w:rPr>
        <w:t>s</w:t>
      </w:r>
      <w:r w:rsidRPr="00CF421D">
        <w:rPr>
          <w:rFonts w:ascii="Verdana" w:hAnsi="Verdana"/>
          <w:sz w:val="20"/>
          <w:szCs w:val="20"/>
          <w:lang w:val="en-US"/>
        </w:rPr>
        <w:t>tudies assessing the safety performance level and the compliance with the Directive</w:t>
      </w:r>
      <w:r w:rsidR="00CF421D" w:rsidRPr="00CF421D">
        <w:rPr>
          <w:rFonts w:ascii="Verdana" w:hAnsi="Verdana"/>
          <w:sz w:val="20"/>
          <w:szCs w:val="20"/>
          <w:lang w:val="en-US"/>
        </w:rPr>
        <w:t xml:space="preserve"> </w:t>
      </w:r>
      <w:r w:rsidR="00CF421D">
        <w:rPr>
          <w:rFonts w:ascii="Verdana" w:hAnsi="Verdana"/>
          <w:sz w:val="20"/>
          <w:szCs w:val="20"/>
          <w:lang w:val="en-US"/>
        </w:rPr>
        <w:t>o</w:t>
      </w:r>
      <w:r w:rsidRPr="00CF421D">
        <w:rPr>
          <w:rFonts w:ascii="Verdana" w:hAnsi="Verdana"/>
          <w:sz w:val="20"/>
          <w:szCs w:val="20"/>
          <w:lang w:val="en-US"/>
        </w:rPr>
        <w:t xml:space="preserve">n tunnel safety </w:t>
      </w:r>
      <w:r w:rsidR="00027517">
        <w:rPr>
          <w:rFonts w:ascii="Verdana" w:hAnsi="Verdana"/>
          <w:sz w:val="20"/>
          <w:szCs w:val="20"/>
          <w:lang w:val="en-US"/>
        </w:rPr>
        <w:t>w</w:t>
      </w:r>
      <w:r w:rsidRPr="00CF421D">
        <w:rPr>
          <w:rFonts w:ascii="Verdana" w:hAnsi="Verdana"/>
          <w:sz w:val="20"/>
          <w:szCs w:val="20"/>
          <w:lang w:val="en-US"/>
        </w:rPr>
        <w:t xml:space="preserve">orks, </w:t>
      </w:r>
      <w:r w:rsidR="00CF421D">
        <w:rPr>
          <w:rFonts w:ascii="Verdana" w:hAnsi="Verdana"/>
          <w:sz w:val="20"/>
          <w:szCs w:val="20"/>
          <w:lang w:val="en-US"/>
        </w:rPr>
        <w:t xml:space="preserve">which is </w:t>
      </w:r>
      <w:r w:rsidRPr="00CF421D">
        <w:rPr>
          <w:rFonts w:ascii="Verdana" w:hAnsi="Verdana"/>
          <w:sz w:val="20"/>
          <w:szCs w:val="20"/>
          <w:lang w:val="en-US"/>
        </w:rPr>
        <w:t>necessary to upgrade tunnels to comply with Directive</w:t>
      </w:r>
      <w:r w:rsidR="00CF421D" w:rsidRPr="00CF421D">
        <w:rPr>
          <w:rFonts w:ascii="Verdana" w:hAnsi="Verdana"/>
          <w:sz w:val="20"/>
          <w:szCs w:val="20"/>
          <w:lang w:val="en-US"/>
        </w:rPr>
        <w:t xml:space="preserve"> </w:t>
      </w:r>
      <w:r w:rsidRPr="00CF421D">
        <w:rPr>
          <w:rFonts w:ascii="Verdana" w:hAnsi="Verdana"/>
          <w:sz w:val="20"/>
          <w:szCs w:val="20"/>
          <w:lang w:val="en-US"/>
        </w:rPr>
        <w:t>2004/54/EC.</w:t>
      </w:r>
      <w:r w:rsidR="00CF421D">
        <w:rPr>
          <w:rFonts w:ascii="Verdana" w:hAnsi="Verdana"/>
          <w:sz w:val="20"/>
          <w:szCs w:val="20"/>
          <w:lang w:val="en-US"/>
        </w:rPr>
        <w:t xml:space="preserve"> </w:t>
      </w:r>
      <w:r w:rsidRPr="00CF421D">
        <w:rPr>
          <w:rFonts w:ascii="Verdana" w:hAnsi="Verdana"/>
          <w:sz w:val="20"/>
          <w:szCs w:val="20"/>
          <w:lang w:val="en-US"/>
        </w:rPr>
        <w:t>Th</w:t>
      </w:r>
      <w:r w:rsidR="00CF421D">
        <w:rPr>
          <w:rFonts w:ascii="Verdana" w:hAnsi="Verdana"/>
          <w:sz w:val="20"/>
          <w:szCs w:val="20"/>
          <w:lang w:val="en-US"/>
        </w:rPr>
        <w:t xml:space="preserve">is topic </w:t>
      </w:r>
      <w:r w:rsidR="00426961">
        <w:rPr>
          <w:rFonts w:ascii="Verdana" w:hAnsi="Verdana"/>
          <w:sz w:val="20"/>
          <w:szCs w:val="20"/>
          <w:lang w:val="en-US"/>
        </w:rPr>
        <w:t>apparently concerns only to</w:t>
      </w:r>
      <w:r w:rsidRPr="00CF421D">
        <w:rPr>
          <w:rFonts w:ascii="Verdana" w:hAnsi="Verdana"/>
          <w:sz w:val="20"/>
          <w:szCs w:val="20"/>
          <w:lang w:val="en-US"/>
        </w:rPr>
        <w:t xml:space="preserve"> road tunnels</w:t>
      </w:r>
    </w:p>
    <w:p w:rsidR="008144DC" w:rsidRPr="00CF421D" w:rsidRDefault="008144DC" w:rsidP="006E5160">
      <w:pPr>
        <w:pStyle w:val="Standard"/>
        <w:numPr>
          <w:ilvl w:val="0"/>
          <w:numId w:val="3"/>
        </w:numPr>
        <w:spacing w:before="120" w:after="120" w:line="312" w:lineRule="auto"/>
        <w:ind w:left="567" w:hanging="567"/>
        <w:jc w:val="both"/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</w:pP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The topic “Rail interoperability” of the </w:t>
      </w:r>
      <w:hyperlink r:id="rId12" w:history="1">
        <w:r w:rsidRPr="00CF421D">
          <w:rPr>
            <w:rStyle w:val="StrongEmphasis"/>
            <w:rFonts w:ascii="Verdana" w:hAnsi="Verdana"/>
            <w:b w:val="0"/>
            <w:bCs w:val="0"/>
            <w:sz w:val="20"/>
            <w:szCs w:val="20"/>
            <w:lang w:val="en-US"/>
          </w:rPr>
          <w:t>Funding Objective</w:t>
        </w:r>
        <w:r w:rsidR="00CF421D">
          <w:rPr>
            <w:rStyle w:val="StrongEmphasis"/>
            <w:rFonts w:ascii="Verdana" w:hAnsi="Verdana"/>
            <w:b w:val="0"/>
            <w:bCs w:val="0"/>
            <w:sz w:val="20"/>
            <w:szCs w:val="20"/>
            <w:lang w:val="en-US"/>
          </w:rPr>
          <w:t xml:space="preserve"> </w:t>
        </w:r>
        <w:r w:rsidRPr="00CF421D">
          <w:rPr>
            <w:rStyle w:val="StrongEmphasis"/>
            <w:rFonts w:ascii="Verdana" w:hAnsi="Verdana"/>
            <w:b w:val="0"/>
            <w:bCs w:val="0"/>
            <w:sz w:val="20"/>
            <w:szCs w:val="20"/>
            <w:lang w:val="en-US"/>
          </w:rPr>
          <w:t>1</w:t>
        </w:r>
      </w:hyperlink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.</w:t>
      </w:r>
      <w:r w:rsid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This topic </w:t>
      </w:r>
      <w:r w:rsidR="00856AFA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concerns 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the interoperability of the rail system as set out in Directive 2008/57/EC</w:t>
      </w:r>
      <w:r w:rsid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,</w:t>
      </w:r>
      <w:r w:rsidRPr="00CF421D">
        <w:rPr>
          <w:rStyle w:val="StrongEmphasis"/>
          <w:b w:val="0"/>
          <w:lang w:val="en-US"/>
        </w:rPr>
        <w:t xml:space="preserve"> 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and more particularly the Technical Specifications for Interoperability (TSI) including </w:t>
      </w:r>
      <w:r w:rsid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s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afety on railway tunnels,</w:t>
      </w:r>
      <w:r w:rsid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r</w:t>
      </w:r>
      <w:r w:rsidRP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ailway system compliance with Interoperability and Safety Directives (including TSIs other than TAF/TAP) and TEN-T Guidelines</w:t>
      </w:r>
      <w:r w:rsidR="00CF421D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.</w:t>
      </w:r>
    </w:p>
    <w:p w:rsidR="008144DC" w:rsidRPr="00CD2A70" w:rsidRDefault="00856AFA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 both cases, p</w:t>
      </w:r>
      <w:r w:rsidR="008144DC" w:rsidRPr="00CD2A70">
        <w:rPr>
          <w:rFonts w:ascii="Verdana" w:hAnsi="Verdana"/>
          <w:sz w:val="20"/>
          <w:szCs w:val="20"/>
          <w:lang w:val="en-US"/>
        </w:rPr>
        <w:t>ro</w:t>
      </w:r>
      <w:r w:rsidR="00CF421D">
        <w:rPr>
          <w:rFonts w:ascii="Verdana" w:hAnsi="Verdana"/>
          <w:sz w:val="20"/>
          <w:szCs w:val="20"/>
          <w:lang w:val="en-US"/>
        </w:rPr>
        <w:t xml:space="preserve">posals must </w:t>
      </w:r>
      <w:r w:rsidR="008144DC" w:rsidRPr="00CD2A70">
        <w:rPr>
          <w:rFonts w:ascii="Verdana" w:hAnsi="Verdana"/>
          <w:sz w:val="20"/>
          <w:szCs w:val="20"/>
          <w:lang w:val="en-US"/>
        </w:rPr>
        <w:t>be submi</w:t>
      </w:r>
      <w:r w:rsidR="00CF421D">
        <w:rPr>
          <w:rFonts w:ascii="Verdana" w:hAnsi="Verdana"/>
          <w:sz w:val="20"/>
          <w:szCs w:val="20"/>
          <w:lang w:val="en-US"/>
        </w:rPr>
        <w:t>t</w:t>
      </w:r>
      <w:r w:rsidR="008144DC" w:rsidRPr="00CD2A70">
        <w:rPr>
          <w:rFonts w:ascii="Verdana" w:hAnsi="Verdana"/>
          <w:sz w:val="20"/>
          <w:szCs w:val="20"/>
          <w:lang w:val="en-US"/>
        </w:rPr>
        <w:t xml:space="preserve">ted either by the </w:t>
      </w:r>
      <w:r w:rsidR="00CF421D">
        <w:rPr>
          <w:rFonts w:ascii="Verdana" w:hAnsi="Verdana"/>
          <w:sz w:val="20"/>
          <w:szCs w:val="20"/>
          <w:lang w:val="en-US"/>
        </w:rPr>
        <w:t xml:space="preserve">national </w:t>
      </w:r>
      <w:r w:rsidR="008144DC" w:rsidRPr="00CD2A70">
        <w:rPr>
          <w:rFonts w:ascii="Verdana" w:hAnsi="Verdana"/>
          <w:sz w:val="20"/>
          <w:szCs w:val="20"/>
          <w:lang w:val="en-US"/>
        </w:rPr>
        <w:t>Ministries of Public Works or by delegated bodies (</w:t>
      </w:r>
      <w:r w:rsidR="00CF421D">
        <w:rPr>
          <w:rFonts w:ascii="Verdana" w:hAnsi="Verdana"/>
          <w:sz w:val="20"/>
          <w:szCs w:val="20"/>
          <w:lang w:val="en-US"/>
        </w:rPr>
        <w:t>i.e. r</w:t>
      </w:r>
      <w:r w:rsidR="008144DC" w:rsidRPr="00CD2A70">
        <w:rPr>
          <w:rFonts w:ascii="Verdana" w:hAnsi="Verdana"/>
          <w:sz w:val="20"/>
          <w:szCs w:val="20"/>
          <w:lang w:val="en-US"/>
        </w:rPr>
        <w:t>ailways operators).</w:t>
      </w:r>
      <w:r w:rsidR="00CF421D">
        <w:rPr>
          <w:rFonts w:ascii="Verdana" w:hAnsi="Verdana"/>
          <w:sz w:val="20"/>
          <w:szCs w:val="20"/>
          <w:lang w:val="en-US"/>
        </w:rPr>
        <w:t xml:space="preserve"> </w:t>
      </w:r>
      <w:r w:rsidR="008144DC" w:rsidRPr="00CD2A70">
        <w:rPr>
          <w:rFonts w:ascii="Verdana" w:hAnsi="Verdana"/>
          <w:sz w:val="20"/>
          <w:szCs w:val="20"/>
          <w:lang w:val="en-US"/>
        </w:rPr>
        <w:t>Private or public projects promoters could submit pro</w:t>
      </w:r>
      <w:r w:rsidR="00CF421D">
        <w:rPr>
          <w:rFonts w:ascii="Verdana" w:hAnsi="Verdana"/>
          <w:sz w:val="20"/>
          <w:szCs w:val="20"/>
          <w:lang w:val="en-US"/>
        </w:rPr>
        <w:t xml:space="preserve">posals, but they must be </w:t>
      </w:r>
      <w:r w:rsidR="008144DC" w:rsidRPr="00CD2A70">
        <w:rPr>
          <w:rFonts w:ascii="Verdana" w:hAnsi="Verdana"/>
          <w:sz w:val="20"/>
          <w:szCs w:val="20"/>
          <w:lang w:val="en-US"/>
        </w:rPr>
        <w:t>endorsed by the Ministry of Public Works.</w:t>
      </w:r>
    </w:p>
    <w:p w:rsidR="008144DC" w:rsidRPr="00856AFA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856AFA">
        <w:rPr>
          <w:rFonts w:ascii="Verdana" w:hAnsi="Verdana"/>
          <w:sz w:val="20"/>
          <w:szCs w:val="20"/>
          <w:lang w:val="en-US"/>
        </w:rPr>
        <w:t xml:space="preserve">Projects </w:t>
      </w:r>
      <w:r w:rsidR="00856AFA">
        <w:rPr>
          <w:rFonts w:ascii="Verdana" w:hAnsi="Verdana"/>
          <w:sz w:val="20"/>
          <w:szCs w:val="20"/>
          <w:lang w:val="en-US"/>
        </w:rPr>
        <w:t xml:space="preserve">could address either </w:t>
      </w:r>
      <w:r w:rsidRPr="00441E5B">
        <w:rPr>
          <w:rFonts w:ascii="Verdana" w:hAnsi="Verdana"/>
          <w:bCs/>
          <w:sz w:val="20"/>
          <w:szCs w:val="20"/>
          <w:u w:val="single"/>
          <w:lang w:val="en-US"/>
        </w:rPr>
        <w:t>studies</w:t>
      </w:r>
      <w:r w:rsidRPr="00856AFA">
        <w:rPr>
          <w:rFonts w:ascii="Verdana" w:hAnsi="Verdana"/>
          <w:sz w:val="20"/>
          <w:szCs w:val="20"/>
          <w:lang w:val="en-US"/>
        </w:rPr>
        <w:t xml:space="preserve"> or works o</w:t>
      </w:r>
      <w:r w:rsidR="00856AFA">
        <w:rPr>
          <w:rFonts w:ascii="Verdana" w:hAnsi="Verdana"/>
          <w:sz w:val="20"/>
          <w:szCs w:val="20"/>
          <w:lang w:val="en-US"/>
        </w:rPr>
        <w:t xml:space="preserve">n </w:t>
      </w:r>
      <w:r w:rsidRPr="00856AFA">
        <w:rPr>
          <w:rFonts w:ascii="Verdana" w:hAnsi="Verdana"/>
          <w:sz w:val="20"/>
          <w:szCs w:val="20"/>
          <w:lang w:val="en-US"/>
        </w:rPr>
        <w:t>sections of the TEN-T</w:t>
      </w:r>
      <w:r w:rsidR="00856AFA">
        <w:rPr>
          <w:rFonts w:ascii="Verdana" w:hAnsi="Verdana"/>
          <w:sz w:val="20"/>
          <w:szCs w:val="20"/>
          <w:lang w:val="en-US"/>
        </w:rPr>
        <w:t xml:space="preserve"> network</w:t>
      </w:r>
      <w:r w:rsidRPr="00856AFA">
        <w:rPr>
          <w:rFonts w:ascii="Verdana" w:hAnsi="Verdana"/>
          <w:sz w:val="20"/>
          <w:szCs w:val="20"/>
          <w:lang w:val="en-US"/>
        </w:rPr>
        <w:t>.</w:t>
      </w:r>
      <w:r w:rsidR="00856AFA">
        <w:rPr>
          <w:rFonts w:ascii="Verdana" w:hAnsi="Verdana"/>
          <w:sz w:val="20"/>
          <w:szCs w:val="20"/>
          <w:lang w:val="en-US"/>
        </w:rPr>
        <w:t xml:space="preserve"> </w:t>
      </w:r>
      <w:r w:rsidRPr="00856AFA">
        <w:rPr>
          <w:rFonts w:ascii="Verdana" w:hAnsi="Verdana"/>
          <w:sz w:val="20"/>
          <w:szCs w:val="20"/>
          <w:lang w:val="en-US"/>
        </w:rPr>
        <w:t xml:space="preserve">The transnational sections of the </w:t>
      </w:r>
      <w:r w:rsidR="00856AFA">
        <w:rPr>
          <w:rFonts w:ascii="Verdana" w:hAnsi="Verdana"/>
          <w:sz w:val="20"/>
          <w:szCs w:val="20"/>
          <w:lang w:val="en-US"/>
        </w:rPr>
        <w:t>c</w:t>
      </w:r>
      <w:r w:rsidRPr="00856AFA">
        <w:rPr>
          <w:rFonts w:ascii="Verdana" w:hAnsi="Verdana"/>
          <w:bCs/>
          <w:sz w:val="20"/>
          <w:szCs w:val="20"/>
          <w:lang w:val="en-US"/>
        </w:rPr>
        <w:t>orridors of the Core Network</w:t>
      </w:r>
      <w:r w:rsidR="00856AFA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856AFA">
        <w:rPr>
          <w:rFonts w:ascii="Verdana" w:hAnsi="Verdana"/>
          <w:sz w:val="20"/>
          <w:szCs w:val="20"/>
          <w:lang w:val="en-US"/>
        </w:rPr>
        <w:t>f.i</w:t>
      </w:r>
      <w:proofErr w:type="spellEnd"/>
      <w:r w:rsidR="00856AFA">
        <w:rPr>
          <w:rFonts w:ascii="Verdana" w:hAnsi="Verdana"/>
          <w:sz w:val="20"/>
          <w:szCs w:val="20"/>
          <w:lang w:val="en-US"/>
        </w:rPr>
        <w:t xml:space="preserve">. </w:t>
      </w:r>
      <w:r w:rsidRPr="00856AFA">
        <w:rPr>
          <w:rFonts w:ascii="Verdana" w:hAnsi="Verdana"/>
          <w:sz w:val="20"/>
          <w:szCs w:val="20"/>
          <w:lang w:val="en-US"/>
        </w:rPr>
        <w:t>Brenner and the Lyon-Turin sections</w:t>
      </w:r>
      <w:r w:rsidR="006E5160">
        <w:rPr>
          <w:rFonts w:ascii="Verdana" w:hAnsi="Verdana"/>
          <w:sz w:val="20"/>
          <w:szCs w:val="20"/>
          <w:lang w:val="en-US"/>
        </w:rPr>
        <w:t xml:space="preserve">) </w:t>
      </w:r>
      <w:r w:rsidRPr="00856AFA">
        <w:rPr>
          <w:rFonts w:ascii="Verdana" w:hAnsi="Verdana"/>
          <w:sz w:val="20"/>
          <w:szCs w:val="20"/>
          <w:lang w:val="en-US"/>
        </w:rPr>
        <w:t>have the maximu</w:t>
      </w:r>
      <w:r w:rsidR="006E5160">
        <w:rPr>
          <w:rFonts w:ascii="Verdana" w:hAnsi="Verdana"/>
          <w:sz w:val="20"/>
          <w:szCs w:val="20"/>
          <w:lang w:val="en-US"/>
        </w:rPr>
        <w:t>m</w:t>
      </w:r>
      <w:r w:rsidRPr="00856AFA">
        <w:rPr>
          <w:rFonts w:ascii="Verdana" w:hAnsi="Verdana"/>
          <w:sz w:val="20"/>
          <w:szCs w:val="20"/>
          <w:lang w:val="en-US"/>
        </w:rPr>
        <w:t xml:space="preserve"> priority.</w:t>
      </w:r>
      <w:r w:rsidR="006E5160">
        <w:rPr>
          <w:rFonts w:ascii="Verdana" w:hAnsi="Verdana"/>
          <w:sz w:val="20"/>
          <w:szCs w:val="20"/>
          <w:lang w:val="en-US"/>
        </w:rPr>
        <w:t xml:space="preserve"> The </w:t>
      </w:r>
      <w:r w:rsidRPr="00856AFA">
        <w:rPr>
          <w:rFonts w:ascii="Verdana" w:hAnsi="Verdana"/>
          <w:sz w:val="20"/>
          <w:szCs w:val="20"/>
          <w:lang w:val="en-US"/>
        </w:rPr>
        <w:t xml:space="preserve">Spanish </w:t>
      </w:r>
      <w:proofErr w:type="spellStart"/>
      <w:r w:rsidRPr="00856AFA">
        <w:rPr>
          <w:rFonts w:ascii="Verdana" w:hAnsi="Verdana"/>
          <w:sz w:val="20"/>
          <w:szCs w:val="20"/>
          <w:lang w:val="en-US"/>
        </w:rPr>
        <w:t>Pajares</w:t>
      </w:r>
      <w:proofErr w:type="spellEnd"/>
      <w:r w:rsidRPr="00856AFA">
        <w:rPr>
          <w:rFonts w:ascii="Verdana" w:hAnsi="Verdana"/>
          <w:sz w:val="20"/>
          <w:szCs w:val="20"/>
          <w:lang w:val="en-US"/>
        </w:rPr>
        <w:t xml:space="preserve"> </w:t>
      </w:r>
      <w:r w:rsidR="006E5160">
        <w:rPr>
          <w:rFonts w:ascii="Verdana" w:hAnsi="Verdana"/>
          <w:sz w:val="20"/>
          <w:szCs w:val="20"/>
          <w:lang w:val="en-US"/>
        </w:rPr>
        <w:t xml:space="preserve">tunnel </w:t>
      </w:r>
      <w:r w:rsidRPr="00856AFA">
        <w:rPr>
          <w:rFonts w:ascii="Verdana" w:hAnsi="Verdana"/>
          <w:sz w:val="20"/>
          <w:szCs w:val="20"/>
          <w:lang w:val="en-US"/>
        </w:rPr>
        <w:t xml:space="preserve">belongs to the </w:t>
      </w:r>
      <w:r w:rsidRPr="00856AFA">
        <w:rPr>
          <w:rFonts w:ascii="Verdana" w:hAnsi="Verdana"/>
          <w:bCs/>
          <w:sz w:val="20"/>
          <w:szCs w:val="20"/>
          <w:lang w:val="en-US"/>
        </w:rPr>
        <w:t>Core Network</w:t>
      </w:r>
      <w:r w:rsidRPr="00856AFA">
        <w:rPr>
          <w:rFonts w:ascii="Verdana" w:hAnsi="Verdana"/>
          <w:sz w:val="20"/>
          <w:szCs w:val="20"/>
          <w:lang w:val="en-US"/>
        </w:rPr>
        <w:t xml:space="preserve"> and the European Commission has recogni</w:t>
      </w:r>
      <w:r w:rsidR="006E5160">
        <w:rPr>
          <w:rFonts w:ascii="Verdana" w:hAnsi="Verdana"/>
          <w:sz w:val="20"/>
          <w:szCs w:val="20"/>
          <w:lang w:val="en-US"/>
        </w:rPr>
        <w:t>z</w:t>
      </w:r>
      <w:r w:rsidRPr="00856AFA">
        <w:rPr>
          <w:rFonts w:ascii="Verdana" w:hAnsi="Verdana"/>
          <w:sz w:val="20"/>
          <w:szCs w:val="20"/>
          <w:lang w:val="en-US"/>
        </w:rPr>
        <w:t xml:space="preserve">ed that this section belongs to the connection of the </w:t>
      </w:r>
      <w:r w:rsidRPr="00856AFA">
        <w:rPr>
          <w:rFonts w:ascii="Verdana" w:hAnsi="Verdana"/>
          <w:bCs/>
          <w:sz w:val="20"/>
          <w:szCs w:val="20"/>
          <w:lang w:val="en-US"/>
        </w:rPr>
        <w:t>Atlantic Corridor</w:t>
      </w:r>
      <w:r w:rsidRPr="00856AFA">
        <w:rPr>
          <w:rFonts w:ascii="Verdana" w:hAnsi="Verdana"/>
          <w:sz w:val="20"/>
          <w:szCs w:val="20"/>
          <w:lang w:val="en-US"/>
        </w:rPr>
        <w:t xml:space="preserve"> with the Port of Gijon. The </w:t>
      </w:r>
      <w:proofErr w:type="spellStart"/>
      <w:r w:rsidRPr="00856AFA">
        <w:rPr>
          <w:rFonts w:ascii="Verdana" w:hAnsi="Verdana"/>
          <w:sz w:val="20"/>
          <w:szCs w:val="20"/>
          <w:lang w:val="en-US"/>
        </w:rPr>
        <w:t>Pajares</w:t>
      </w:r>
      <w:proofErr w:type="spellEnd"/>
      <w:r w:rsidRPr="00856AFA">
        <w:rPr>
          <w:rFonts w:ascii="Verdana" w:hAnsi="Verdana"/>
          <w:sz w:val="20"/>
          <w:szCs w:val="20"/>
          <w:lang w:val="en-US"/>
        </w:rPr>
        <w:t xml:space="preserve"> section has consequently high priority or</w:t>
      </w:r>
      <w:r w:rsidR="00027517">
        <w:rPr>
          <w:rFonts w:ascii="Verdana" w:hAnsi="Verdana"/>
          <w:sz w:val="20"/>
          <w:szCs w:val="20"/>
          <w:lang w:val="en-US"/>
        </w:rPr>
        <w:t>,</w:t>
      </w:r>
      <w:r w:rsidRPr="00856AFA">
        <w:rPr>
          <w:rFonts w:ascii="Verdana" w:hAnsi="Verdana"/>
          <w:sz w:val="20"/>
          <w:szCs w:val="20"/>
          <w:lang w:val="en-US"/>
        </w:rPr>
        <w:t xml:space="preserve"> may be</w:t>
      </w:r>
      <w:r w:rsidR="00027517">
        <w:rPr>
          <w:rFonts w:ascii="Verdana" w:hAnsi="Verdana"/>
          <w:sz w:val="20"/>
          <w:szCs w:val="20"/>
          <w:lang w:val="en-US"/>
        </w:rPr>
        <w:t>,</w:t>
      </w:r>
      <w:r w:rsidRPr="00856AFA">
        <w:rPr>
          <w:rFonts w:ascii="Verdana" w:hAnsi="Verdana"/>
          <w:sz w:val="20"/>
          <w:szCs w:val="20"/>
          <w:lang w:val="en-US"/>
        </w:rPr>
        <w:t xml:space="preserve"> maximu</w:t>
      </w:r>
      <w:r w:rsidR="006E5160">
        <w:rPr>
          <w:rFonts w:ascii="Verdana" w:hAnsi="Verdana"/>
          <w:sz w:val="20"/>
          <w:szCs w:val="20"/>
          <w:lang w:val="en-US"/>
        </w:rPr>
        <w:t>m</w:t>
      </w:r>
      <w:r w:rsidRPr="00856AFA">
        <w:rPr>
          <w:rFonts w:ascii="Verdana" w:hAnsi="Verdana"/>
          <w:sz w:val="20"/>
          <w:szCs w:val="20"/>
          <w:lang w:val="en-US"/>
        </w:rPr>
        <w:t xml:space="preserve"> priority.</w:t>
      </w:r>
    </w:p>
    <w:p w:rsidR="008144DC" w:rsidRPr="00CD2A70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sz w:val="20"/>
          <w:szCs w:val="20"/>
          <w:lang w:val="en-US"/>
        </w:rPr>
        <w:t>Pro</w:t>
      </w:r>
      <w:r w:rsidR="006E5160">
        <w:rPr>
          <w:rFonts w:ascii="Verdana" w:hAnsi="Verdana"/>
          <w:sz w:val="20"/>
          <w:szCs w:val="20"/>
          <w:lang w:val="en-US"/>
        </w:rPr>
        <w:t xml:space="preserve">posals </w:t>
      </w:r>
      <w:r w:rsidRPr="00CD2A70">
        <w:rPr>
          <w:rFonts w:ascii="Verdana" w:hAnsi="Verdana"/>
          <w:sz w:val="20"/>
          <w:szCs w:val="20"/>
          <w:lang w:val="en-US"/>
        </w:rPr>
        <w:t>submi</w:t>
      </w:r>
      <w:r w:rsidR="006E5160">
        <w:rPr>
          <w:rFonts w:ascii="Verdana" w:hAnsi="Verdana"/>
          <w:sz w:val="20"/>
          <w:szCs w:val="20"/>
          <w:lang w:val="en-US"/>
        </w:rPr>
        <w:t>t</w:t>
      </w:r>
      <w:r w:rsidRPr="00CD2A70">
        <w:rPr>
          <w:rFonts w:ascii="Verdana" w:hAnsi="Verdana"/>
          <w:sz w:val="20"/>
          <w:szCs w:val="20"/>
          <w:lang w:val="en-US"/>
        </w:rPr>
        <w:t xml:space="preserve">ted to the CEF </w:t>
      </w:r>
      <w:r w:rsidR="006E5160">
        <w:rPr>
          <w:rFonts w:ascii="Verdana" w:hAnsi="Verdana"/>
          <w:sz w:val="20"/>
          <w:szCs w:val="20"/>
          <w:lang w:val="en-US"/>
        </w:rPr>
        <w:t xml:space="preserve">must </w:t>
      </w:r>
      <w:r w:rsidRPr="00CD2A70">
        <w:rPr>
          <w:rFonts w:ascii="Verdana" w:hAnsi="Verdana"/>
          <w:sz w:val="20"/>
          <w:szCs w:val="20"/>
          <w:lang w:val="en-US"/>
        </w:rPr>
        <w:t xml:space="preserve">demonstrate that the execution of the project </w:t>
      </w:r>
      <w:r w:rsidRPr="00CD2A70">
        <w:rPr>
          <w:rFonts w:ascii="Verdana" w:hAnsi="Verdana"/>
          <w:sz w:val="20"/>
          <w:szCs w:val="20"/>
          <w:lang w:val="en-US"/>
        </w:rPr>
        <w:lastRenderedPageBreak/>
        <w:t>(</w:t>
      </w:r>
      <w:r w:rsidR="006E5160">
        <w:rPr>
          <w:rFonts w:ascii="Verdana" w:hAnsi="Verdana"/>
          <w:sz w:val="20"/>
          <w:szCs w:val="20"/>
          <w:lang w:val="en-US"/>
        </w:rPr>
        <w:t xml:space="preserve">or study) will </w:t>
      </w:r>
      <w:r w:rsidRPr="00CD2A70">
        <w:rPr>
          <w:rFonts w:ascii="Verdana" w:hAnsi="Verdana"/>
          <w:sz w:val="20"/>
          <w:szCs w:val="20"/>
          <w:lang w:val="en-US"/>
        </w:rPr>
        <w:t>facilitate the implementation of the TEN-T section.</w:t>
      </w:r>
      <w:r w:rsidR="006E5160">
        <w:rPr>
          <w:rFonts w:ascii="Verdana" w:hAnsi="Verdana"/>
          <w:sz w:val="20"/>
          <w:szCs w:val="20"/>
          <w:lang w:val="en-US"/>
        </w:rPr>
        <w:t xml:space="preserve"> </w:t>
      </w:r>
      <w:r w:rsidRPr="00CD2A70">
        <w:rPr>
          <w:rFonts w:ascii="Verdana" w:hAnsi="Verdana"/>
          <w:sz w:val="20"/>
          <w:szCs w:val="20"/>
          <w:lang w:val="en-US"/>
        </w:rPr>
        <w:t>Note that research projects are excluded on CEF</w:t>
      </w:r>
      <w:r w:rsidR="00441E5B">
        <w:rPr>
          <w:rFonts w:ascii="Verdana" w:hAnsi="Verdana"/>
          <w:sz w:val="20"/>
          <w:szCs w:val="20"/>
          <w:lang w:val="en-US"/>
        </w:rPr>
        <w:t xml:space="preserve">, so any proposal on tunnel safety should be presented as a </w:t>
      </w:r>
      <w:r w:rsidR="00441E5B" w:rsidRPr="00D2676C">
        <w:rPr>
          <w:rFonts w:ascii="Verdana" w:hAnsi="Verdana"/>
          <w:sz w:val="20"/>
          <w:szCs w:val="20"/>
          <w:lang w:val="en-US"/>
        </w:rPr>
        <w:t>study</w:t>
      </w:r>
      <w:r w:rsidR="007370B5" w:rsidRPr="007370B5">
        <w:rPr>
          <w:rFonts w:ascii="Verdana" w:eastAsiaTheme="minorHAnsi" w:hAnsi="Verdana" w:cs="Times New Roman"/>
          <w:kern w:val="0"/>
          <w:sz w:val="20"/>
          <w:szCs w:val="20"/>
          <w:lang w:val="en-US" w:eastAsia="en-US" w:bidi="ar-SA"/>
        </w:rPr>
        <w:t xml:space="preserve"> </w:t>
      </w:r>
      <w:r w:rsidR="007370B5" w:rsidRPr="007370B5">
        <w:rPr>
          <w:rFonts w:ascii="Verdana" w:hAnsi="Verdana"/>
          <w:sz w:val="20"/>
          <w:szCs w:val="20"/>
          <w:lang w:val="en-US"/>
        </w:rPr>
        <w:t>related with “</w:t>
      </w:r>
      <w:r w:rsidR="007370B5" w:rsidRPr="007370B5">
        <w:rPr>
          <w:rFonts w:ascii="Verdana" w:hAnsi="Verdana"/>
          <w:i/>
          <w:sz w:val="20"/>
          <w:szCs w:val="20"/>
          <w:lang w:val="en-US"/>
        </w:rPr>
        <w:t xml:space="preserve">transport infrastructure and </w:t>
      </w:r>
      <w:proofErr w:type="spellStart"/>
      <w:r w:rsidR="007370B5" w:rsidRPr="007370B5">
        <w:rPr>
          <w:rFonts w:ascii="Verdana" w:hAnsi="Verdana"/>
          <w:i/>
          <w:sz w:val="20"/>
          <w:szCs w:val="20"/>
          <w:lang w:val="en-US"/>
        </w:rPr>
        <w:t>telematic</w:t>
      </w:r>
      <w:proofErr w:type="spellEnd"/>
      <w:r w:rsidR="007370B5" w:rsidRPr="007370B5">
        <w:rPr>
          <w:rFonts w:ascii="Verdana" w:hAnsi="Verdana"/>
          <w:i/>
          <w:sz w:val="20"/>
          <w:szCs w:val="20"/>
          <w:lang w:val="en-US"/>
        </w:rPr>
        <w:t xml:space="preserve"> applications as well as measures promoting the efficient management and use of such infrastructure and permitting the establishment and operation of sustainable and efficient transport services</w:t>
      </w:r>
      <w:r w:rsidR="007370B5" w:rsidRPr="007370B5">
        <w:rPr>
          <w:rFonts w:ascii="Verdana" w:hAnsi="Verdana"/>
          <w:sz w:val="20"/>
          <w:szCs w:val="20"/>
          <w:lang w:val="en-US"/>
        </w:rPr>
        <w:t>”.(See art</w:t>
      </w:r>
      <w:r w:rsidR="007370B5">
        <w:rPr>
          <w:rFonts w:ascii="Verdana" w:hAnsi="Verdana"/>
          <w:sz w:val="20"/>
          <w:szCs w:val="20"/>
          <w:lang w:val="en-US"/>
        </w:rPr>
        <w:t>.</w:t>
      </w:r>
      <w:r w:rsidR="007370B5" w:rsidRPr="007370B5">
        <w:rPr>
          <w:rFonts w:ascii="Verdana" w:hAnsi="Verdana"/>
          <w:sz w:val="20"/>
          <w:szCs w:val="20"/>
          <w:lang w:val="en-US"/>
        </w:rPr>
        <w:t xml:space="preserve"> 2,</w:t>
      </w:r>
      <w:r w:rsidR="007370B5">
        <w:rPr>
          <w:rFonts w:ascii="Verdana" w:hAnsi="Verdana"/>
          <w:sz w:val="20"/>
          <w:szCs w:val="20"/>
          <w:lang w:val="en-US"/>
        </w:rPr>
        <w:t xml:space="preserve"> </w:t>
      </w:r>
      <w:r w:rsidR="007370B5" w:rsidRPr="007370B5">
        <w:rPr>
          <w:rFonts w:ascii="Verdana" w:hAnsi="Verdana"/>
          <w:sz w:val="20"/>
          <w:szCs w:val="20"/>
          <w:lang w:val="en-US"/>
        </w:rPr>
        <w:t xml:space="preserve">Scope, of </w:t>
      </w:r>
      <w:r w:rsidR="007370B5">
        <w:rPr>
          <w:rFonts w:ascii="Verdana" w:hAnsi="Verdana"/>
          <w:sz w:val="20"/>
          <w:szCs w:val="20"/>
          <w:lang w:val="en-US"/>
        </w:rPr>
        <w:t>R</w:t>
      </w:r>
      <w:r w:rsidR="007370B5" w:rsidRPr="007370B5">
        <w:rPr>
          <w:rFonts w:ascii="Verdana" w:hAnsi="Verdana"/>
          <w:sz w:val="20"/>
          <w:szCs w:val="20"/>
          <w:lang w:val="en-US"/>
        </w:rPr>
        <w:t>egulation 1315/203</w:t>
      </w:r>
      <w:r w:rsidR="007370B5">
        <w:rPr>
          <w:rFonts w:ascii="Verdana" w:hAnsi="Verdana"/>
          <w:sz w:val="20"/>
          <w:szCs w:val="20"/>
          <w:lang w:val="en-US"/>
        </w:rPr>
        <w:t>)</w:t>
      </w:r>
    </w:p>
    <w:p w:rsidR="008144DC" w:rsidRPr="00CD2A70" w:rsidRDefault="008144DC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CD2A70">
        <w:rPr>
          <w:rFonts w:ascii="Verdana" w:hAnsi="Verdana"/>
          <w:sz w:val="20"/>
          <w:szCs w:val="20"/>
          <w:lang w:val="en-US"/>
        </w:rPr>
        <w:t>Pro</w:t>
      </w:r>
      <w:r w:rsidR="006E5160">
        <w:rPr>
          <w:rFonts w:ascii="Verdana" w:hAnsi="Verdana"/>
          <w:sz w:val="20"/>
          <w:szCs w:val="20"/>
          <w:lang w:val="en-US"/>
        </w:rPr>
        <w:t xml:space="preserve">posals </w:t>
      </w:r>
      <w:r w:rsidRPr="00CD2A70">
        <w:rPr>
          <w:rFonts w:ascii="Verdana" w:hAnsi="Verdana"/>
          <w:sz w:val="20"/>
          <w:szCs w:val="20"/>
          <w:lang w:val="en-US"/>
        </w:rPr>
        <w:t>could be submi</w:t>
      </w:r>
      <w:r w:rsidR="006E5160">
        <w:rPr>
          <w:rFonts w:ascii="Verdana" w:hAnsi="Verdana"/>
          <w:sz w:val="20"/>
          <w:szCs w:val="20"/>
          <w:lang w:val="en-US"/>
        </w:rPr>
        <w:t>t</w:t>
      </w:r>
      <w:r w:rsidRPr="00CD2A70">
        <w:rPr>
          <w:rFonts w:ascii="Verdana" w:hAnsi="Verdana"/>
          <w:sz w:val="20"/>
          <w:szCs w:val="20"/>
          <w:lang w:val="en-US"/>
        </w:rPr>
        <w:t>ted by a single Me</w:t>
      </w:r>
      <w:r w:rsidR="006E5160">
        <w:rPr>
          <w:rFonts w:ascii="Verdana" w:hAnsi="Verdana"/>
          <w:sz w:val="20"/>
          <w:szCs w:val="20"/>
          <w:lang w:val="en-US"/>
        </w:rPr>
        <w:t>m</w:t>
      </w:r>
      <w:r w:rsidRPr="00CD2A70">
        <w:rPr>
          <w:rFonts w:ascii="Verdana" w:hAnsi="Verdana"/>
          <w:sz w:val="20"/>
          <w:szCs w:val="20"/>
          <w:lang w:val="en-US"/>
        </w:rPr>
        <w:t>ber State (</w:t>
      </w:r>
      <w:proofErr w:type="spellStart"/>
      <w:r w:rsidRPr="00CD2A70">
        <w:rPr>
          <w:rFonts w:ascii="Verdana" w:hAnsi="Verdana"/>
          <w:sz w:val="20"/>
          <w:szCs w:val="20"/>
          <w:lang w:val="en-US"/>
        </w:rPr>
        <w:t>Pajares</w:t>
      </w:r>
      <w:proofErr w:type="spellEnd"/>
      <w:r w:rsidRPr="00CD2A70">
        <w:rPr>
          <w:rFonts w:ascii="Verdana" w:hAnsi="Verdana"/>
          <w:sz w:val="20"/>
          <w:szCs w:val="20"/>
          <w:lang w:val="en-US"/>
        </w:rPr>
        <w:t>) or by at least the two MS of the transnational sections (Brenner and Lyon-Turin)</w:t>
      </w:r>
      <w:r w:rsidR="00027517">
        <w:rPr>
          <w:rFonts w:ascii="Verdana" w:hAnsi="Verdana"/>
          <w:sz w:val="20"/>
          <w:szCs w:val="20"/>
          <w:lang w:val="en-US"/>
        </w:rPr>
        <w:t xml:space="preserve">. </w:t>
      </w:r>
      <w:r w:rsidRPr="00CD2A70">
        <w:rPr>
          <w:rFonts w:ascii="Verdana" w:hAnsi="Verdana"/>
          <w:sz w:val="20"/>
          <w:szCs w:val="20"/>
          <w:lang w:val="en-US"/>
        </w:rPr>
        <w:t>The dea</w:t>
      </w:r>
      <w:r w:rsidR="006E5160">
        <w:rPr>
          <w:rFonts w:ascii="Verdana" w:hAnsi="Verdana"/>
          <w:sz w:val="20"/>
          <w:szCs w:val="20"/>
          <w:lang w:val="en-US"/>
        </w:rPr>
        <w:t>d</w:t>
      </w:r>
      <w:r w:rsidRPr="00CD2A70">
        <w:rPr>
          <w:rFonts w:ascii="Verdana" w:hAnsi="Verdana"/>
          <w:sz w:val="20"/>
          <w:szCs w:val="20"/>
          <w:lang w:val="en-US"/>
        </w:rPr>
        <w:t xml:space="preserve">line for projects submission is 26 </w:t>
      </w:r>
      <w:r w:rsidR="006E5160">
        <w:rPr>
          <w:rFonts w:ascii="Verdana" w:hAnsi="Verdana"/>
          <w:sz w:val="20"/>
          <w:szCs w:val="20"/>
          <w:lang w:val="en-US"/>
        </w:rPr>
        <w:t>F</w:t>
      </w:r>
      <w:r w:rsidRPr="00CD2A70">
        <w:rPr>
          <w:rFonts w:ascii="Verdana" w:hAnsi="Verdana"/>
          <w:sz w:val="20"/>
          <w:szCs w:val="20"/>
          <w:lang w:val="en-US"/>
        </w:rPr>
        <w:t>ebruary 2015.</w:t>
      </w:r>
    </w:p>
    <w:p w:rsidR="006E5160" w:rsidRDefault="006E5160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144DC" w:rsidRPr="006E5160" w:rsidRDefault="006E5160" w:rsidP="006E5160">
      <w:pPr>
        <w:pStyle w:val="Standard"/>
        <w:spacing w:before="120" w:after="120" w:line="312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E5160">
        <w:rPr>
          <w:rFonts w:ascii="Verdana" w:hAnsi="Verdana"/>
          <w:b/>
          <w:bCs/>
          <w:sz w:val="20"/>
          <w:szCs w:val="20"/>
          <w:u w:val="single"/>
          <w:lang w:val="en-US"/>
        </w:rPr>
        <w:t>Potential actions in this field:</w:t>
      </w:r>
    </w:p>
    <w:p w:rsidR="00027517" w:rsidRDefault="002615C9" w:rsidP="006E5160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PTTP</w:t>
      </w:r>
      <w:r w:rsidR="00027517">
        <w:rPr>
          <w:rFonts w:ascii="Verdana" w:hAnsi="Verdana"/>
          <w:sz w:val="20"/>
          <w:szCs w:val="20"/>
          <w:lang w:val="en-US"/>
        </w:rPr>
        <w:t xml:space="preserve"> suggest</w:t>
      </w:r>
      <w:r>
        <w:rPr>
          <w:rFonts w:ascii="Verdana" w:hAnsi="Verdana"/>
          <w:sz w:val="20"/>
          <w:szCs w:val="20"/>
          <w:lang w:val="en-US"/>
        </w:rPr>
        <w:t>s that construction and engineering companies could</w:t>
      </w:r>
      <w:r w:rsidR="00027517">
        <w:rPr>
          <w:rFonts w:ascii="Verdana" w:hAnsi="Verdana"/>
          <w:sz w:val="20"/>
          <w:szCs w:val="20"/>
          <w:lang w:val="en-US"/>
        </w:rPr>
        <w:t xml:space="preserve"> </w:t>
      </w:r>
      <w:r w:rsidR="00D2676C">
        <w:rPr>
          <w:rFonts w:ascii="Verdana" w:hAnsi="Verdana"/>
          <w:sz w:val="20"/>
          <w:szCs w:val="20"/>
          <w:lang w:val="en-US"/>
        </w:rPr>
        <w:t xml:space="preserve">try to </w:t>
      </w:r>
      <w:r w:rsidR="00027517">
        <w:rPr>
          <w:rFonts w:ascii="Verdana" w:hAnsi="Verdana"/>
          <w:sz w:val="20"/>
          <w:szCs w:val="20"/>
          <w:lang w:val="en-US"/>
        </w:rPr>
        <w:t xml:space="preserve">promote studies </w:t>
      </w:r>
      <w:r>
        <w:rPr>
          <w:rFonts w:ascii="Verdana" w:hAnsi="Verdana"/>
          <w:sz w:val="20"/>
          <w:szCs w:val="20"/>
          <w:lang w:val="en-US"/>
        </w:rPr>
        <w:t xml:space="preserve">and works </w:t>
      </w:r>
      <w:r w:rsidR="00027517">
        <w:rPr>
          <w:rFonts w:ascii="Verdana" w:hAnsi="Verdana"/>
          <w:sz w:val="20"/>
          <w:szCs w:val="20"/>
          <w:lang w:val="en-US"/>
        </w:rPr>
        <w:t>in the two areas:</w:t>
      </w:r>
    </w:p>
    <w:p w:rsidR="008144DC" w:rsidRPr="0005118E" w:rsidRDefault="00027517" w:rsidP="00027517">
      <w:pPr>
        <w:pStyle w:val="Standard"/>
        <w:numPr>
          <w:ilvl w:val="0"/>
          <w:numId w:val="8"/>
        </w:numPr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Safety and S</w:t>
      </w:r>
      <w:r w:rsidR="008144DC" w:rsidRPr="0005118E">
        <w:rPr>
          <w:rFonts w:ascii="Verdana" w:hAnsi="Verdana"/>
          <w:bCs/>
          <w:sz w:val="20"/>
          <w:szCs w:val="20"/>
          <w:lang w:val="en-US"/>
        </w:rPr>
        <w:t xml:space="preserve">ecurity on </w:t>
      </w:r>
      <w:r>
        <w:rPr>
          <w:rFonts w:ascii="Verdana" w:hAnsi="Verdana"/>
          <w:bCs/>
          <w:sz w:val="20"/>
          <w:szCs w:val="20"/>
          <w:lang w:val="en-US"/>
        </w:rPr>
        <w:t>T</w:t>
      </w:r>
      <w:r w:rsidR="008144DC" w:rsidRPr="0005118E">
        <w:rPr>
          <w:rFonts w:ascii="Verdana" w:hAnsi="Verdana"/>
          <w:bCs/>
          <w:sz w:val="20"/>
          <w:szCs w:val="20"/>
          <w:lang w:val="en-US"/>
        </w:rPr>
        <w:t>unnels</w:t>
      </w:r>
      <w:r>
        <w:rPr>
          <w:rFonts w:ascii="Verdana" w:hAnsi="Verdana"/>
          <w:bCs/>
          <w:sz w:val="20"/>
          <w:szCs w:val="20"/>
          <w:lang w:val="en-US"/>
        </w:rPr>
        <w:t xml:space="preserve">, under </w:t>
      </w:r>
      <w:hyperlink r:id="rId13" w:history="1">
        <w:r w:rsidR="008144DC" w:rsidRPr="0005118E">
          <w:rPr>
            <w:rStyle w:val="StrongEmphasis"/>
            <w:rFonts w:ascii="Verdana" w:hAnsi="Verdana"/>
            <w:b w:val="0"/>
            <w:sz w:val="20"/>
            <w:szCs w:val="20"/>
            <w:lang w:val="en-US"/>
          </w:rPr>
          <w:t>Funding Objective 2</w:t>
        </w:r>
      </w:hyperlink>
      <w:r w:rsidR="0005118E" w:rsidRPr="0005118E">
        <w:rPr>
          <w:rFonts w:ascii="Verdana" w:hAnsi="Verdana"/>
          <w:b/>
          <w:sz w:val="20"/>
          <w:szCs w:val="20"/>
          <w:lang w:val="en-US"/>
        </w:rPr>
        <w:t>.</w:t>
      </w:r>
    </w:p>
    <w:p w:rsidR="002615C9" w:rsidRDefault="00027517" w:rsidP="00027517">
      <w:pPr>
        <w:pStyle w:val="Standard"/>
        <w:numPr>
          <w:ilvl w:val="0"/>
          <w:numId w:val="8"/>
        </w:numPr>
        <w:spacing w:before="120" w:after="120" w:line="312" w:lineRule="auto"/>
        <w:jc w:val="both"/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</w:pPr>
      <w:r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P</w:t>
      </w:r>
      <w:r w:rsidR="008144DC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rojects </w:t>
      </w:r>
      <w:r w:rsidR="0005118E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related to </w:t>
      </w:r>
      <w:r w:rsidR="008144DC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TSI-SRT on </w:t>
      </w:r>
      <w:proofErr w:type="spellStart"/>
      <w:r w:rsidR="008144DC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Pajares</w:t>
      </w:r>
      <w:proofErr w:type="spellEnd"/>
      <w:r w:rsidR="008144DC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,</w:t>
      </w:r>
      <w:r w:rsidR="0005118E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="008144DC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Brenner and Lyon-Turin</w:t>
      </w:r>
      <w:r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="002615C9"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railway tunnels</w:t>
      </w:r>
      <w:r w:rsid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.</w:t>
      </w:r>
    </w:p>
    <w:p w:rsidR="00027517" w:rsidRPr="002615C9" w:rsidRDefault="00027517" w:rsidP="00027517">
      <w:pPr>
        <w:pStyle w:val="Standard"/>
        <w:numPr>
          <w:ilvl w:val="0"/>
          <w:numId w:val="8"/>
        </w:numPr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 w:rsidRPr="002615C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Comments:</w:t>
      </w:r>
    </w:p>
    <w:p w:rsidR="008144DC" w:rsidRDefault="00027517" w:rsidP="00027517">
      <w:pPr>
        <w:pStyle w:val="Standard"/>
        <w:numPr>
          <w:ilvl w:val="0"/>
          <w:numId w:val="7"/>
        </w:numPr>
        <w:spacing w:before="120" w:after="120" w:line="312" w:lineRule="auto"/>
        <w:jc w:val="both"/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</w:pPr>
      <w:r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For this type of projects it will be </w:t>
      </w:r>
      <w:r w:rsidR="0005118E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necessary </w:t>
      </w:r>
      <w:r w:rsid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to </w:t>
      </w:r>
      <w:r w:rsidR="008144DC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mobili</w:t>
      </w:r>
      <w:r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z</w:t>
      </w:r>
      <w:r w:rsidR="008144DC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e either the Ministries of Public Works</w:t>
      </w:r>
      <w:r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,</w:t>
      </w:r>
      <w:r w:rsidR="008144DC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or the </w:t>
      </w:r>
      <w:r w:rsidR="00D2676C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r</w:t>
      </w:r>
      <w:r w:rsidR="008144DC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ailway operators </w:t>
      </w:r>
    </w:p>
    <w:p w:rsidR="008144DC" w:rsidRPr="0005118E" w:rsidRDefault="008144DC" w:rsidP="0005118E">
      <w:pPr>
        <w:pStyle w:val="Standard"/>
        <w:numPr>
          <w:ilvl w:val="0"/>
          <w:numId w:val="7"/>
        </w:numPr>
        <w:spacing w:before="120" w:after="120" w:line="312" w:lineRule="auto"/>
        <w:jc w:val="both"/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</w:pP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The CEF could finance 50% of the studies</w:t>
      </w:r>
      <w:r w:rsidR="00486FE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,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and the remaining 50% should be financed by the MS.</w:t>
      </w:r>
      <w:r w:rsidR="0005118E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Nevertheless, it should be note</w:t>
      </w:r>
      <w:r w:rsidR="0005118E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d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that most of the studies sh</w:t>
      </w:r>
      <w:r w:rsidR="00486FE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ould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be </w:t>
      </w:r>
      <w:r w:rsidR="00486FE9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necessarily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made as part of the global project of the tunnel</w:t>
      </w:r>
      <w:r w:rsid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s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,</w:t>
      </w:r>
      <w:r w:rsidR="0005118E"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because “</w:t>
      </w:r>
      <w:r w:rsidRPr="0005118E">
        <w:rPr>
          <w:rStyle w:val="StrongEmphasis"/>
          <w:rFonts w:ascii="Verdana" w:eastAsia="EUAlbertina" w:hAnsi="Verdana" w:cs="EUAlbertina"/>
          <w:b w:val="0"/>
          <w:bCs w:val="0"/>
          <w:i/>
          <w:sz w:val="20"/>
          <w:szCs w:val="20"/>
          <w:lang w:val="en-US"/>
        </w:rPr>
        <w:t>The TSI shall be fully applicable to the trans-European</w:t>
      </w:r>
      <w:r w:rsidR="0005118E" w:rsidRPr="0005118E">
        <w:rPr>
          <w:rStyle w:val="StrongEmphasis"/>
          <w:rFonts w:ascii="Verdana" w:eastAsia="EUAlbertina" w:hAnsi="Verdana" w:cs="EUAlbertina"/>
          <w:b w:val="0"/>
          <w:bCs w:val="0"/>
          <w:i/>
          <w:sz w:val="20"/>
          <w:szCs w:val="20"/>
          <w:lang w:val="en-US"/>
        </w:rPr>
        <w:t xml:space="preserve"> </w:t>
      </w:r>
      <w:r w:rsidRPr="0005118E">
        <w:rPr>
          <w:rStyle w:val="StrongEmphasis"/>
          <w:rFonts w:ascii="Verdana" w:hAnsi="Verdana"/>
          <w:b w:val="0"/>
          <w:bCs w:val="0"/>
          <w:i/>
          <w:sz w:val="20"/>
          <w:szCs w:val="20"/>
          <w:lang w:val="en-US"/>
        </w:rPr>
        <w:t>conventional rail system, and the trans-European high-speed rail system, account being taken of Article 2 of Commission Decision 2008/163/EC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”. Th</w:t>
      </w:r>
      <w:r w:rsid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is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means</w:t>
      </w:r>
      <w:r w:rsid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that the MS or the Rail Operator </w:t>
      </w:r>
      <w:r w:rsidR="0005118E" w:rsidRPr="0005118E">
        <w:rPr>
          <w:rStyle w:val="StrongEmphasis"/>
          <w:rFonts w:ascii="Verdana" w:hAnsi="Verdana"/>
          <w:b w:val="0"/>
          <w:bCs w:val="0"/>
          <w:sz w:val="20"/>
          <w:szCs w:val="20"/>
          <w:u w:val="single"/>
          <w:lang w:val="en-US"/>
        </w:rPr>
        <w:t>must</w:t>
      </w:r>
      <w:r w:rsid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implement a study on the compliance of the rail tunnel with the TSI-SRT.</w:t>
      </w:r>
    </w:p>
    <w:p w:rsidR="008144DC" w:rsidRPr="0050476F" w:rsidRDefault="008144DC" w:rsidP="0005118E">
      <w:pPr>
        <w:pStyle w:val="Standard"/>
        <w:numPr>
          <w:ilvl w:val="0"/>
          <w:numId w:val="7"/>
        </w:numPr>
        <w:spacing w:before="120" w:after="120" w:line="312" w:lineRule="auto"/>
        <w:jc w:val="both"/>
        <w:rPr>
          <w:rStyle w:val="StrongEmphasis"/>
          <w:lang w:val="en-US"/>
        </w:rPr>
      </w:pP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The 2014 Call of the CEF could f</w:t>
      </w:r>
      <w:r w:rsidR="0050476F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und 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activities </w:t>
      </w:r>
      <w:r w:rsidR="0050476F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 xml:space="preserve">developed as of </w:t>
      </w:r>
      <w:r w:rsidR="00D2676C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1 J</w:t>
      </w:r>
      <w:r w:rsidRPr="0005118E"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anuary 2014.</w:t>
      </w:r>
    </w:p>
    <w:p w:rsidR="008144DC" w:rsidRDefault="008144DC" w:rsidP="006E5160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370B5" w:rsidRPr="007370B5" w:rsidRDefault="007370B5" w:rsidP="007370B5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7370B5">
        <w:rPr>
          <w:rFonts w:ascii="Verdana" w:hAnsi="Verdana"/>
          <w:b/>
          <w:sz w:val="20"/>
          <w:szCs w:val="20"/>
          <w:u w:val="single"/>
          <w:lang w:val="en-US"/>
        </w:rPr>
        <w:t>The 2014 CEF Transport Call Info Days</w:t>
      </w:r>
    </w:p>
    <w:p w:rsidR="007370B5" w:rsidRDefault="007370B5" w:rsidP="007370B5">
      <w:pPr>
        <w:pStyle w:val="Standard"/>
        <w:spacing w:before="120" w:after="120" w:line="312" w:lineRule="auto"/>
        <w:jc w:val="both"/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</w:pPr>
      <w:r>
        <w:rPr>
          <w:rStyle w:val="StrongEmphasis"/>
          <w:rFonts w:ascii="Verdana" w:hAnsi="Verdana"/>
          <w:b w:val="0"/>
          <w:bCs w:val="0"/>
          <w:sz w:val="20"/>
          <w:szCs w:val="20"/>
          <w:lang w:val="en-US"/>
        </w:rPr>
        <w:t>The INEA Agency in cooperation with DG MOVE celebrated last 9 and 10 October an Info-Day about the 2014 CEF Calls. The Agenda and presentations are available at:</w:t>
      </w:r>
    </w:p>
    <w:p w:rsidR="007370B5" w:rsidRPr="007370B5" w:rsidRDefault="00FE5CCF" w:rsidP="007370B5">
      <w:pPr>
        <w:pStyle w:val="Standard"/>
        <w:spacing w:before="120" w:after="120" w:line="312" w:lineRule="auto"/>
        <w:jc w:val="both"/>
        <w:rPr>
          <w:rFonts w:ascii="Verdana" w:hAnsi="Verdana"/>
          <w:sz w:val="20"/>
          <w:lang w:val="en-US"/>
        </w:rPr>
      </w:pPr>
      <w:hyperlink r:id="rId14" w:history="1">
        <w:r w:rsidR="007370B5" w:rsidRPr="007370B5">
          <w:rPr>
            <w:rStyle w:val="Hipervnculo"/>
            <w:rFonts w:ascii="Verdana" w:hAnsi="Verdana"/>
            <w:sz w:val="20"/>
            <w:lang w:val="en-US"/>
          </w:rPr>
          <w:t>http://inea.ec.europa.eu/en/news__events/events/2014_cef_transport_info_day.htm</w:t>
        </w:r>
      </w:hyperlink>
    </w:p>
    <w:p w:rsidR="008144DC" w:rsidRPr="00067849" w:rsidRDefault="007370B5" w:rsidP="00067849">
      <w:pPr>
        <w:pStyle w:val="Standard"/>
        <w:spacing w:before="120" w:after="120" w:line="312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The CEF call is 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>however quite</w:t>
      </w: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 complex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, so it is </w:t>
      </w: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recommended to concentrate the reading on the presentations 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>from G</w:t>
      </w: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udrun Schulze (Safe and Secure Infrastructure) and Gerhard Troche (Interoperability). </w:t>
      </w:r>
      <w:r w:rsidR="002615C9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The </w:t>
      </w:r>
      <w:proofErr w:type="spellStart"/>
      <w:r w:rsidR="002615C9">
        <w:rPr>
          <w:rStyle w:val="StrongEmphasis"/>
          <w:rFonts w:ascii="Verdana" w:hAnsi="Verdana"/>
          <w:b w:val="0"/>
          <w:sz w:val="20"/>
          <w:szCs w:val="20"/>
          <w:lang w:val="en-US"/>
        </w:rPr>
        <w:t>chaiman</w:t>
      </w:r>
      <w:proofErr w:type="spellEnd"/>
      <w:r w:rsidR="002615C9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 of the PTTP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 </w:t>
      </w: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>attended the event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, and would be happy to </w:t>
      </w:r>
      <w:r w:rsidRPr="007370B5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answer to </w:t>
      </w:r>
      <w:r>
        <w:rPr>
          <w:rStyle w:val="StrongEmphasis"/>
          <w:rFonts w:ascii="Verdana" w:hAnsi="Verdana"/>
          <w:b w:val="0"/>
          <w:sz w:val="20"/>
          <w:szCs w:val="20"/>
          <w:lang w:val="en-US"/>
        </w:rPr>
        <w:t>any question about</w:t>
      </w:r>
      <w:r w:rsidR="00067849">
        <w:rPr>
          <w:rStyle w:val="StrongEmphasis"/>
          <w:rFonts w:ascii="Verdana" w:hAnsi="Verdana"/>
          <w:b w:val="0"/>
          <w:sz w:val="20"/>
          <w:szCs w:val="20"/>
          <w:lang w:val="en-US"/>
        </w:rPr>
        <w:t xml:space="preserve"> it.</w:t>
      </w:r>
    </w:p>
    <w:p w:rsidR="007B17D1" w:rsidRDefault="007B17D1" w:rsidP="006E5160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B17D1" w:rsidRDefault="007B17D1" w:rsidP="006E5160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B17D1" w:rsidRPr="00CD2A70" w:rsidRDefault="007B17D1" w:rsidP="006E5160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144DC" w:rsidRDefault="00D32E0B" w:rsidP="006E5160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 xml:space="preserve">2) </w:t>
      </w:r>
      <w:r w:rsidR="008144DC" w:rsidRPr="00CD2A70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>THE HORIZON 2020 PROGRAMME</w:t>
      </w:r>
    </w:p>
    <w:p w:rsidR="00AA4777" w:rsidRDefault="00AA4777" w:rsidP="00AA4777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HORIZON 20202 refers to </w:t>
      </w:r>
      <w:r w:rsidRPr="00A056F8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research and innovation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, whereas </w:t>
      </w:r>
      <w:r w:rsidRPr="00A056F8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CEF 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is aimed to </w:t>
      </w:r>
      <w:r w:rsidRPr="00A056F8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deployment and implementation.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 </w:t>
      </w:r>
      <w:r w:rsidRPr="00A056F8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There are synergies between bot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h programs, but each of them</w:t>
      </w:r>
      <w:r w:rsidRPr="00A056F8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 has its own specificities.</w:t>
      </w:r>
    </w:p>
    <w:p w:rsidR="00AA4777" w:rsidRDefault="00AA4777" w:rsidP="00AA4777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“Safe tunnels” could be eligible on two H</w:t>
      </w:r>
      <w:r w:rsidR="00E82A32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2020 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sections, either on “Secure societies: Protecting freedom and security of Europe and its citizens” of the Security area</w:t>
      </w:r>
      <w:r w:rsidR="00E82A32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,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 or on the section “Smart, green and integrated transport” of the Transport area.</w:t>
      </w:r>
    </w:p>
    <w:p w:rsidR="00AA4777" w:rsidRDefault="00AA4777" w:rsidP="00AA4777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Last 10 October, </w:t>
      </w:r>
      <w:r w:rsidR="00067849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the chairman of the PTTP </w:t>
      </w:r>
      <w:r w:rsidR="00E82A32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had a </w:t>
      </w:r>
      <w:r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meeting with the Policy Officer of DG MOVE responsible </w:t>
      </w:r>
      <w:r w:rsidRPr="00866F5F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 xml:space="preserve">for </w:t>
      </w:r>
      <w:r w:rsidRPr="00866F5F">
        <w:rPr>
          <w:rFonts w:ascii="Verdana" w:hAnsi="Verdana"/>
          <w:sz w:val="20"/>
          <w:szCs w:val="20"/>
          <w:lang w:val="en-US"/>
        </w:rPr>
        <w:t>Research and Innovative Transport Systems.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067849">
        <w:rPr>
          <w:rFonts w:ascii="Verdana" w:hAnsi="Verdana"/>
          <w:sz w:val="20"/>
          <w:szCs w:val="20"/>
          <w:lang w:val="en-US"/>
        </w:rPr>
        <w:t>The possibility to support a “topic” on the HORIZON WP 2016/2017 dealing with “Secure and safe tunnels” was appreciated by the Commission policy officers.</w:t>
      </w:r>
    </w:p>
    <w:p w:rsidR="00AA4777" w:rsidRDefault="00AA4777" w:rsidP="00AA4777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2015 Call on “Secure societies” includes several topics on “Critical infrastructures protection”</w:t>
      </w:r>
      <w:r w:rsidR="00E82A3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(CIP), for which Risk Analysis and Risk Management are important components. Nevertheless the topics DRS-13-2015, DRS-14-2015 and DRS-15-2015 of the “Secure societies” Work </w:t>
      </w:r>
      <w:proofErr w:type="spellStart"/>
      <w:r>
        <w:rPr>
          <w:rFonts w:ascii="Verdana" w:hAnsi="Verdana"/>
          <w:sz w:val="20"/>
          <w:szCs w:val="20"/>
          <w:lang w:val="en-US"/>
        </w:rPr>
        <w:t>Programme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do not match conveniently </w:t>
      </w:r>
      <w:r w:rsidR="00067849">
        <w:rPr>
          <w:rFonts w:ascii="Verdana" w:hAnsi="Verdana"/>
          <w:sz w:val="20"/>
          <w:szCs w:val="20"/>
          <w:lang w:val="en-US"/>
        </w:rPr>
        <w:t>with a specific  topic on “Safe tunnels”</w:t>
      </w:r>
      <w:r>
        <w:rPr>
          <w:rFonts w:ascii="Verdana" w:hAnsi="Verdana"/>
          <w:sz w:val="20"/>
          <w:szCs w:val="20"/>
          <w:lang w:val="en-US"/>
        </w:rPr>
        <w:t xml:space="preserve"> and it would be necessary a substantial change </w:t>
      </w:r>
      <w:r w:rsidR="00E82A32">
        <w:rPr>
          <w:rFonts w:ascii="Verdana" w:hAnsi="Verdana"/>
          <w:sz w:val="20"/>
          <w:szCs w:val="20"/>
          <w:lang w:val="en-US"/>
        </w:rPr>
        <w:t xml:space="preserve">of the project </w:t>
      </w:r>
      <w:r>
        <w:rPr>
          <w:rFonts w:ascii="Verdana" w:hAnsi="Verdana"/>
          <w:sz w:val="20"/>
          <w:szCs w:val="20"/>
          <w:lang w:val="en-US"/>
        </w:rPr>
        <w:t>approach. The advantage is that the call is expected for 2015.</w:t>
      </w:r>
    </w:p>
    <w:p w:rsidR="00AA4777" w:rsidRDefault="00AA4777" w:rsidP="00AA4777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Policy officer of DG MOVE consider</w:t>
      </w:r>
      <w:r w:rsidR="00E82A32">
        <w:rPr>
          <w:rFonts w:ascii="Verdana" w:hAnsi="Verdana"/>
          <w:sz w:val="20"/>
          <w:szCs w:val="20"/>
          <w:lang w:val="en-US"/>
        </w:rPr>
        <w:t>ed</w:t>
      </w:r>
      <w:r>
        <w:rPr>
          <w:rFonts w:ascii="Verdana" w:hAnsi="Verdana"/>
          <w:sz w:val="20"/>
          <w:szCs w:val="20"/>
          <w:lang w:val="en-US"/>
        </w:rPr>
        <w:t xml:space="preserve"> that the issue of “Safe tunnels” would be better treated on t</w:t>
      </w:r>
      <w:r w:rsidR="00067849">
        <w:rPr>
          <w:rFonts w:ascii="Verdana" w:hAnsi="Verdana"/>
          <w:sz w:val="20"/>
          <w:szCs w:val="20"/>
          <w:lang w:val="en-US"/>
        </w:rPr>
        <w:t xml:space="preserve">he “Transport” area. DG MOVE considers that </w:t>
      </w:r>
      <w:r>
        <w:rPr>
          <w:rFonts w:ascii="Verdana" w:hAnsi="Verdana"/>
          <w:sz w:val="20"/>
          <w:szCs w:val="20"/>
          <w:lang w:val="en-US"/>
        </w:rPr>
        <w:t xml:space="preserve">“resilience” and “safety” of the infrastructures, both on the construction, maintenance and operation phases, will be a strategic objective on the transport Work </w:t>
      </w:r>
      <w:proofErr w:type="spellStart"/>
      <w:r>
        <w:rPr>
          <w:rFonts w:ascii="Verdana" w:hAnsi="Verdana"/>
          <w:sz w:val="20"/>
          <w:szCs w:val="20"/>
          <w:lang w:val="en-US"/>
        </w:rPr>
        <w:t>Programme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2016-2017.</w:t>
      </w:r>
    </w:p>
    <w:p w:rsidR="00E82A32" w:rsidRPr="00E82A32" w:rsidRDefault="00E82A32" w:rsidP="008C15D8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 xml:space="preserve">Preparation of the </w:t>
      </w:r>
      <w:r w:rsidR="008144DC"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 xml:space="preserve">Work </w:t>
      </w:r>
      <w:proofErr w:type="spellStart"/>
      <w:r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>P</w:t>
      </w:r>
      <w:r w:rsidR="008144DC"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>rogramme</w:t>
      </w:r>
      <w:proofErr w:type="spellEnd"/>
      <w:r w:rsidR="008144DC"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 xml:space="preserve"> 2016-2017</w:t>
      </w:r>
      <w:r w:rsidRPr="00E82A32">
        <w:rPr>
          <w:rStyle w:val="StrongEmphasis"/>
          <w:rFonts w:ascii="Verdana" w:eastAsia="EUAlbertina" w:hAnsi="Verdana" w:cs="EUAlbertina"/>
          <w:sz w:val="20"/>
          <w:szCs w:val="20"/>
          <w:lang w:val="en-US"/>
        </w:rPr>
        <w:t xml:space="preserve"> in the Transport area</w:t>
      </w:r>
      <w:r w:rsidR="00D32E0B" w:rsidRPr="00E82A32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.</w:t>
      </w:r>
      <w:proofErr w:type="gramEnd"/>
      <w:r w:rsidRPr="00E82A32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 The Commission (DG MOVE) has started to draw the strategic objectives and now is consulting the public.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 </w:t>
      </w:r>
    </w:p>
    <w:p w:rsidR="00E82A32" w:rsidRDefault="00E82A32" w:rsidP="00E82A32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Moreover, it is important either to attend or to address </w:t>
      </w:r>
      <w:r w:rsidR="008C15D8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public organizations and stakeholders 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on the events organized by the European Commission. In particular, it would be very important to get support for the Safe Tunnels topic during </w:t>
      </w:r>
      <w:r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the </w:t>
      </w:r>
      <w:r w:rsidRPr="00DF3CC2"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  <w:t>Conference</w:t>
      </w:r>
      <w:r w:rsidRPr="00DF3CC2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 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on “Transport safety: societal challenges, research solutions” that </w:t>
      </w:r>
      <w:r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will take place in Genoa the 4-5 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D</w:t>
      </w:r>
      <w:r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ecember 2014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, </w:t>
      </w:r>
      <w:r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conv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e</w:t>
      </w:r>
      <w:r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ned by the Italian Presidency and the European Commission</w:t>
      </w:r>
    </w:p>
    <w:p w:rsidR="00C45CDE" w:rsidRPr="00426961" w:rsidRDefault="00FE5CCF" w:rsidP="00426961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sz w:val="20"/>
          <w:szCs w:val="20"/>
          <w:lang w:val="en-US"/>
        </w:rPr>
      </w:pPr>
      <w:hyperlink r:id="rId15" w:history="1">
        <w:r w:rsidR="00C45CDE" w:rsidRPr="00426961">
          <w:rPr>
            <w:rStyle w:val="Hipervnculo"/>
            <w:rFonts w:ascii="Verdana" w:eastAsia="EUAlbertina" w:hAnsi="Verdana" w:cs="EUAlbertina"/>
            <w:sz w:val="20"/>
            <w:szCs w:val="20"/>
            <w:lang w:val="en-US"/>
          </w:rPr>
          <w:t>http://ec.europa.eu/programmes/horizon2020/en/news/first-announcement-save-date-conference-transport-safety-societal-challenges-research-solutions</w:t>
        </w:r>
      </w:hyperlink>
    </w:p>
    <w:p w:rsidR="008C15D8" w:rsidRDefault="00426961" w:rsidP="006E5160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</w:pP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If any of you is planning to attend this conference, we think that it </w:t>
      </w:r>
      <w:r w:rsidR="00C45CDE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could be a place to propose the topic and to address </w:t>
      </w:r>
      <w:r w:rsidR="00C45CDE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the European Commission officials</w:t>
      </w:r>
      <w:r w:rsidR="00C45CDE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 about this issue. </w:t>
      </w:r>
    </w:p>
    <w:p w:rsidR="008144DC" w:rsidRDefault="00C45CDE" w:rsidP="006E5160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</w:pPr>
      <w:bookmarkStart w:id="0" w:name="_GoBack"/>
      <w:bookmarkEnd w:id="0"/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Note that t</w:t>
      </w:r>
      <w:r w:rsidR="008144DC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he HORIZON transport </w:t>
      </w:r>
      <w:proofErr w:type="spellStart"/>
      <w:r w:rsidR="008144DC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programme</w:t>
      </w:r>
      <w:proofErr w:type="spellEnd"/>
      <w:r w:rsidR="008144DC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 will be managed by the INEA </w:t>
      </w:r>
      <w:proofErr w:type="gramStart"/>
      <w:r w:rsidR="008144DC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lastRenderedPageBreak/>
        <w:t xml:space="preserve">Executive Agency, </w:t>
      </w:r>
      <w:r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 xml:space="preserve">same as </w:t>
      </w:r>
      <w:r w:rsidR="008144DC" w:rsidRPr="00CD2A70"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  <w:t>CEF.</w:t>
      </w:r>
      <w:proofErr w:type="gramEnd"/>
    </w:p>
    <w:p w:rsidR="004330C1" w:rsidRDefault="004330C1" w:rsidP="006E5160">
      <w:pPr>
        <w:pStyle w:val="Standard"/>
        <w:autoSpaceDE w:val="0"/>
        <w:spacing w:before="120" w:after="120" w:line="312" w:lineRule="auto"/>
        <w:jc w:val="both"/>
        <w:rPr>
          <w:rStyle w:val="StrongEmphasis"/>
          <w:rFonts w:ascii="Verdana" w:eastAsia="EUAlbertina" w:hAnsi="Verdana" w:cs="EUAlbertina"/>
          <w:b w:val="0"/>
          <w:bCs w:val="0"/>
          <w:sz w:val="20"/>
          <w:szCs w:val="20"/>
          <w:lang w:val="en-US"/>
        </w:rPr>
      </w:pPr>
    </w:p>
    <w:p w:rsidR="00E82A32" w:rsidRDefault="00E82A32" w:rsidP="006E5160">
      <w:pPr>
        <w:pStyle w:val="Standard"/>
        <w:autoSpaceDE w:val="0"/>
        <w:spacing w:before="120" w:after="120" w:line="312" w:lineRule="auto"/>
        <w:jc w:val="both"/>
        <w:rPr>
          <w:rFonts w:ascii="Verdana" w:hAnsi="Verdana"/>
          <w:sz w:val="20"/>
          <w:szCs w:val="20"/>
          <w:lang w:val="en-US"/>
        </w:rPr>
        <w:sectPr w:rsidR="00E82A32" w:rsidSect="000D1FB4"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2A32" w:rsidRDefault="00E82A32" w:rsidP="00E82A32">
      <w:pPr>
        <w:keepNext/>
        <w:widowControl w:val="0"/>
        <w:suppressAutoHyphens/>
        <w:spacing w:before="240" w:after="60" w:line="240" w:lineRule="auto"/>
        <w:jc w:val="left"/>
        <w:outlineLvl w:val="0"/>
        <w:rPr>
          <w:rFonts w:ascii="Cambria" w:eastAsia="Times New Roman" w:hAnsi="Cambria" w:cs="Mangal"/>
          <w:b/>
          <w:bCs/>
          <w:kern w:val="32"/>
          <w:sz w:val="32"/>
          <w:szCs w:val="29"/>
          <w:lang w:val="en-US" w:eastAsia="hi-IN" w:bidi="hi-IN"/>
        </w:rPr>
      </w:pPr>
      <w:r w:rsidRPr="00E82A32">
        <w:rPr>
          <w:rFonts w:ascii="Cambria" w:eastAsia="Times New Roman" w:hAnsi="Cambria" w:cs="Mangal"/>
          <w:b/>
          <w:bCs/>
          <w:kern w:val="32"/>
          <w:sz w:val="32"/>
          <w:szCs w:val="29"/>
          <w:lang w:val="en-US" w:eastAsia="hi-IN" w:bidi="hi-IN"/>
        </w:rPr>
        <w:lastRenderedPageBreak/>
        <w:t>Meeting, on 10</w:t>
      </w:r>
      <w:r w:rsidRPr="00E82A32">
        <w:rPr>
          <w:rFonts w:ascii="Cambria" w:eastAsia="Times New Roman" w:hAnsi="Cambria" w:cs="Mangal"/>
          <w:b/>
          <w:bCs/>
          <w:kern w:val="32"/>
          <w:sz w:val="32"/>
          <w:szCs w:val="29"/>
          <w:vertAlign w:val="superscript"/>
          <w:lang w:val="en-US" w:eastAsia="hi-IN" w:bidi="hi-IN"/>
        </w:rPr>
        <w:t>th</w:t>
      </w:r>
      <w:r w:rsidRPr="00E82A32">
        <w:rPr>
          <w:rFonts w:ascii="Cambria" w:eastAsia="Times New Roman" w:hAnsi="Cambria" w:cs="Mangal"/>
          <w:b/>
          <w:bCs/>
          <w:kern w:val="32"/>
          <w:sz w:val="32"/>
          <w:szCs w:val="29"/>
          <w:lang w:val="en-US" w:eastAsia="hi-IN" w:bidi="hi-IN"/>
        </w:rPr>
        <w:t xml:space="preserve"> October 2014 with the policy officer in DG MOVE responsible for Research and Innovative Transport Systems </w:t>
      </w:r>
    </w:p>
    <w:p w:rsid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4330C1" w:rsidRPr="00E82A32" w:rsidRDefault="004330C1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4330C1">
      <w:pPr>
        <w:widowControl w:val="0"/>
        <w:numPr>
          <w:ilvl w:val="0"/>
          <w:numId w:val="9"/>
        </w:numPr>
        <w:suppressAutoHyphens/>
        <w:spacing w:before="0" w:after="0" w:line="240" w:lineRule="auto"/>
        <w:ind w:hanging="436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Proposal of a topic on “Safe and safety on long rail tunnels of the </w:t>
      </w:r>
      <w:proofErr w:type="spellStart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transeuropean</w:t>
      </w:r>
      <w:proofErr w:type="spellEnd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 transport network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DG MOVE is now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preparing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the strategic orientation of the Work </w:t>
      </w:r>
      <w:proofErr w:type="spell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Programme</w:t>
      </w:r>
      <w:proofErr w:type="spell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2016-2017 and is open to hear from stakeholders, political and professional organizations. Consequently it is a very good moment for approaching policy officers and for discussing future topics.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“Policy officer” report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that the WP 2014-2015 was very broad, with a big number of topics and focusing on equipment (rolling stock and others).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DG MOVE has already received the input from the “Advisory Group” that propose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as the main lines for the WP of 2016-2017 to concentrate efforts on </w:t>
      </w:r>
      <w:proofErr w:type="gram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( ??</w:t>
      </w:r>
      <w:proofErr w:type="gram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),climate change and safety. The first reflections of DG MOVE are to select as strategic objectives “resilience” and “safety” on the infrastructures, with holistic approach on construction, maintenance and operation.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The proposal of a “topic” on “Safe and Safety on tunnels”, and in particular on the long rail tunnels of the </w:t>
      </w:r>
      <w:proofErr w:type="spell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transeuropean</w:t>
      </w:r>
      <w:proofErr w:type="spell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network, was welcomed. The Policy officer agree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that there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is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a big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potential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for Research and Innovation and that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fits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with the Commission th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oughts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.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4330C1">
      <w:pPr>
        <w:widowControl w:val="0"/>
        <w:numPr>
          <w:ilvl w:val="0"/>
          <w:numId w:val="9"/>
        </w:numPr>
        <w:suppressAutoHyphens/>
        <w:spacing w:before="0" w:after="0" w:line="240" w:lineRule="auto"/>
        <w:ind w:hanging="436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The Conference of Gen</w:t>
      </w:r>
      <w:r w:rsidR="00B107B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oa</w:t>
      </w: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, on 4-5 </w:t>
      </w:r>
      <w:proofErr w:type="spellStart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december</w:t>
      </w:r>
      <w:proofErr w:type="spellEnd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 2014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ind w:left="360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Default="00E82A3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Under the Italian EU presidency, the European Commission is organizing a Conference on “</w:t>
      </w: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Transport safety: societal </w:t>
      </w:r>
      <w:proofErr w:type="gramStart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challenges ,research</w:t>
      </w:r>
      <w:proofErr w:type="gramEnd"/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 solutions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”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.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Commission would like to facilitate the participation of the public.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It is intended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to focus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Conference more on the discussions than on the official presentations and to give the floor to the public.</w:t>
      </w:r>
    </w:p>
    <w:p w:rsidR="00B107B2" w:rsidRPr="00E82A32" w:rsidRDefault="00B107B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Default="00E82A3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It would be important to raise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in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Conference the issue of “Safe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ty and security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on long rail tunnels” and to hold discussions on this topic.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It is expected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to draft conclusions and a final declaration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of the Conference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,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which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would include the inputs from the workshops. This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declaration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would be an important input for the Commission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in the definition of the Work </w:t>
      </w:r>
      <w:proofErr w:type="spellStart"/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Programme</w:t>
      </w:r>
      <w:proofErr w:type="spellEnd"/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2016-2017, which should be published by the end of the year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.</w:t>
      </w:r>
    </w:p>
    <w:p w:rsidR="00B107B2" w:rsidRPr="00E82A32" w:rsidRDefault="00B107B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Default="00E82A3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For the time be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ing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, there have been announced participants from the road sector and in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a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less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er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extent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from the rail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sector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.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Representatives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from the maritime sector are welcomed.</w:t>
      </w:r>
    </w:p>
    <w:p w:rsidR="00B107B2" w:rsidRPr="00E82A32" w:rsidRDefault="00B107B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numPr>
          <w:ilvl w:val="0"/>
          <w:numId w:val="9"/>
        </w:numPr>
        <w:suppressAutoHyphens/>
        <w:spacing w:before="0" w:after="0" w:line="240" w:lineRule="auto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A topic on “Risk analysis and risk management” on rail tunnels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ind w:left="720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Default="00E82A3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section “Secure societies-Protecting freedom and security of Europe and its cit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iz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ens” of H2020 (Area of Security) includes on the Call 2015 several topics on “Critical infrastructure protection”. In particular the topics DRS-13-2015,</w:t>
      </w:r>
      <w:r w:rsidR="00B107B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DRS-14-2015 </w:t>
      </w:r>
      <w:proofErr w:type="spell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y</w:t>
      </w:r>
      <w:proofErr w:type="spell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DRS-15-2015 (for more details </w:t>
      </w:r>
      <w:proofErr w:type="gram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see  </w:t>
      </w:r>
      <w:proofErr w:type="gramEnd"/>
      <w:hyperlink r:id="rId17" w:history="1">
        <w:r w:rsidRPr="00E82A32">
          <w:rPr>
            <w:rFonts w:ascii="Times New Roman" w:eastAsia="SimSun" w:hAnsi="Times New Roman" w:cs="Mangal"/>
            <w:color w:val="0000FF"/>
            <w:kern w:val="1"/>
            <w:szCs w:val="24"/>
            <w:u w:val="single"/>
            <w:lang w:val="en-US" w:eastAsia="hi-IN" w:bidi="hi-IN"/>
          </w:rPr>
          <w:t>http://ec.europa.eu/research/participants/data/ref/h2020/wp/2014_2015/main/h2020-wp1415-security_en.pdf</w:t>
        </w:r>
      </w:hyperlink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 ).</w:t>
      </w:r>
    </w:p>
    <w:p w:rsidR="00B107B2" w:rsidRPr="00E82A32" w:rsidRDefault="00B107B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B107B2">
      <w:pPr>
        <w:widowControl w:val="0"/>
        <w:suppressAutoHyphens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Risk analysis and risk management are important tools for critical infrastructure protection and it would be possible to introduce a</w:t>
      </w:r>
      <w:r w:rsidR="004330C1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proposal covering the topics covered by the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IRISMART project. Nevertheless, the DG MOVE policy officer considers that the topic of IRISMART is more transport-oriented and that it would be better evaluated on the </w:t>
      </w:r>
      <w:r w:rsidR="004330C1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Transport 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area of H</w:t>
      </w:r>
      <w:r w:rsidR="004330C1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2020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.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ind w:left="720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numPr>
          <w:ilvl w:val="0"/>
          <w:numId w:val="9"/>
        </w:numPr>
        <w:suppressAutoHyphens/>
        <w:spacing w:before="0" w:after="0" w:line="240" w:lineRule="auto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lastRenderedPageBreak/>
        <w:t>The management of the “Smart,</w:t>
      </w:r>
      <w:r w:rsidR="004330C1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 xml:space="preserve"> </w:t>
      </w: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green and integrated transport” section of H2020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ind w:left="720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The management of the transport area of H</w:t>
      </w:r>
      <w:r w:rsidR="004330C1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2020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will be transferred to the INEA agency, but DG MOVE will continue to be responsible of the policy definition and decision making.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The INEA agency will manage also the “Connecting Europe” </w:t>
      </w:r>
      <w:proofErr w:type="spell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programme</w:t>
      </w:r>
      <w:proofErr w:type="spell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for the development of the </w:t>
      </w:r>
      <w:proofErr w:type="spellStart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Transeuropean</w:t>
      </w:r>
      <w:proofErr w:type="spellEnd"/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transport Network</w:t>
      </w:r>
    </w:p>
    <w:p w:rsidR="00E82A32" w:rsidRPr="00E82A32" w:rsidRDefault="00E82A32" w:rsidP="00E82A32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p w:rsidR="00E82A32" w:rsidRDefault="00E82A32" w:rsidP="004330C1">
      <w:pPr>
        <w:widowControl w:val="0"/>
        <w:numPr>
          <w:ilvl w:val="0"/>
          <w:numId w:val="9"/>
        </w:numPr>
        <w:suppressAutoHyphens/>
        <w:spacing w:before="0" w:after="0" w:line="240" w:lineRule="auto"/>
        <w:ind w:hanging="436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  <w:t>Other issues</w:t>
      </w:r>
    </w:p>
    <w:p w:rsidR="004330C1" w:rsidRPr="00E82A32" w:rsidRDefault="004330C1" w:rsidP="004330C1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Mangal"/>
          <w:b/>
          <w:kern w:val="1"/>
          <w:szCs w:val="24"/>
          <w:lang w:val="en-US" w:eastAsia="hi-IN" w:bidi="hi-IN"/>
        </w:rPr>
      </w:pPr>
    </w:p>
    <w:p w:rsidR="00E82A32" w:rsidRPr="00E82A32" w:rsidRDefault="00E82A32" w:rsidP="004330C1">
      <w:pPr>
        <w:autoSpaceDE w:val="0"/>
        <w:autoSpaceDN w:val="0"/>
        <w:adjustRightInd w:val="0"/>
        <w:spacing w:before="0" w:after="0" w:line="240" w:lineRule="auto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The Commission is going to make a revision of the </w:t>
      </w:r>
      <w:r w:rsidRPr="00E82A32">
        <w:rPr>
          <w:rFonts w:ascii="TimesNewRoman" w:eastAsia="Times New Roman" w:hAnsi="TimesNewRoman" w:cs="TimesNewRoman"/>
          <w:szCs w:val="24"/>
          <w:lang w:val="en-US" w:eastAsia="es-ES"/>
        </w:rPr>
        <w:t xml:space="preserve">Directive 2004/54/EC </w:t>
      </w:r>
      <w:r w:rsidR="004330C1">
        <w:rPr>
          <w:rFonts w:ascii="TimesNewRoman" w:eastAsia="Times New Roman" w:hAnsi="TimesNewRoman" w:cs="TimesNewRoman"/>
          <w:szCs w:val="24"/>
          <w:lang w:val="en-US" w:eastAsia="es-ES"/>
        </w:rPr>
        <w:t xml:space="preserve">which </w:t>
      </w:r>
      <w:r w:rsidRPr="00E82A32">
        <w:rPr>
          <w:rFonts w:ascii="TimesNewRoman" w:eastAsia="Times New Roman" w:hAnsi="TimesNewRoman" w:cs="TimesNewRoman"/>
          <w:szCs w:val="24"/>
          <w:lang w:val="en-US" w:eastAsia="es-ES"/>
        </w:rPr>
        <w:t>establishes minimum safety requirements for tunnels in the trans-European road network and 2008/96/EC</w:t>
      </w:r>
      <w:r w:rsidRPr="00E82A32">
        <w:rPr>
          <w:rFonts w:ascii="Calibri" w:eastAsia="Times New Roman" w:hAnsi="Calibri" w:cs="Calibri"/>
          <w:sz w:val="14"/>
          <w:szCs w:val="14"/>
          <w:lang w:val="en-US" w:eastAsia="es-ES"/>
        </w:rPr>
        <w:t xml:space="preserve"> </w:t>
      </w:r>
      <w:r w:rsidRPr="00E82A32">
        <w:rPr>
          <w:rFonts w:ascii="TimesNewRoman" w:eastAsia="Times New Roman" w:hAnsi="TimesNewRoman" w:cs="TimesNewRoman"/>
          <w:szCs w:val="24"/>
          <w:lang w:val="en-US" w:eastAsia="es-ES"/>
        </w:rPr>
        <w:t>providing an EU-wide basis for road infrastructure safety management,</w:t>
      </w:r>
      <w:r w:rsidRPr="00E82A32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 xml:space="preserve"> in order to solve the existing missing on safety conditions on the entry of the tunnels (following t</w:t>
      </w:r>
      <w:r w:rsidR="004330C1">
        <w:rPr>
          <w:rFonts w:ascii="Times New Roman" w:eastAsia="SimSun" w:hAnsi="Times New Roman" w:cs="Mangal"/>
          <w:kern w:val="1"/>
          <w:szCs w:val="24"/>
          <w:lang w:val="en-US" w:eastAsia="hi-IN" w:bidi="hi-IN"/>
        </w:rPr>
        <w:t>he accident of the Belgium bus).</w:t>
      </w:r>
    </w:p>
    <w:p w:rsidR="00E82A32" w:rsidRPr="00E82A32" w:rsidRDefault="00E82A32" w:rsidP="00E82A32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SimSun" w:hAnsi="Times New Roman" w:cs="Mangal"/>
          <w:kern w:val="1"/>
          <w:szCs w:val="24"/>
          <w:lang w:val="en-US" w:eastAsia="hi-IN" w:bidi="hi-IN"/>
        </w:rPr>
      </w:pPr>
    </w:p>
    <w:sectPr w:rsidR="00E82A32" w:rsidRPr="00E82A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CF" w:rsidRDefault="00FE5CCF" w:rsidP="00CD2A70">
      <w:pPr>
        <w:spacing w:before="0" w:after="0" w:line="240" w:lineRule="auto"/>
      </w:pPr>
      <w:r>
        <w:separator/>
      </w:r>
    </w:p>
  </w:endnote>
  <w:endnote w:type="continuationSeparator" w:id="0">
    <w:p w:rsidR="00FE5CCF" w:rsidRDefault="00FE5CCF" w:rsidP="00CD2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07"/>
      <w:docPartObj>
        <w:docPartGallery w:val="Page Numbers (Bottom of Page)"/>
        <w:docPartUnique/>
      </w:docPartObj>
    </w:sdtPr>
    <w:sdtEndPr/>
    <w:sdtContent>
      <w:p w:rsidR="00B107B2" w:rsidRDefault="00FC578D" w:rsidP="00CD2A7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CF" w:rsidRDefault="00FE5CCF" w:rsidP="00CD2A70">
      <w:pPr>
        <w:spacing w:before="0" w:after="0" w:line="240" w:lineRule="auto"/>
      </w:pPr>
      <w:r>
        <w:separator/>
      </w:r>
    </w:p>
  </w:footnote>
  <w:footnote w:type="continuationSeparator" w:id="0">
    <w:p w:rsidR="00FE5CCF" w:rsidRDefault="00FE5CCF" w:rsidP="00CD2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36"/>
    <w:multiLevelType w:val="multilevel"/>
    <w:tmpl w:val="B11ACF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6C4287"/>
    <w:multiLevelType w:val="hybridMultilevel"/>
    <w:tmpl w:val="0CE6317C"/>
    <w:lvl w:ilvl="0" w:tplc="6E6458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769F"/>
    <w:multiLevelType w:val="hybridMultilevel"/>
    <w:tmpl w:val="8DB60C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23A3"/>
    <w:multiLevelType w:val="multilevel"/>
    <w:tmpl w:val="98F22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E94F10"/>
    <w:multiLevelType w:val="multilevel"/>
    <w:tmpl w:val="B9CE9FF2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3B2643C"/>
    <w:multiLevelType w:val="hybridMultilevel"/>
    <w:tmpl w:val="2A8A7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B62FB"/>
    <w:multiLevelType w:val="multilevel"/>
    <w:tmpl w:val="E548BA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0410A7A"/>
    <w:multiLevelType w:val="multilevel"/>
    <w:tmpl w:val="1990F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7E64C3A"/>
    <w:multiLevelType w:val="multilevel"/>
    <w:tmpl w:val="0C9E4D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DC"/>
    <w:rsid w:val="00027517"/>
    <w:rsid w:val="0005118E"/>
    <w:rsid w:val="00067849"/>
    <w:rsid w:val="000D1FB4"/>
    <w:rsid w:val="00176814"/>
    <w:rsid w:val="002615C9"/>
    <w:rsid w:val="003D4459"/>
    <w:rsid w:val="00407BCE"/>
    <w:rsid w:val="00426961"/>
    <w:rsid w:val="004330C1"/>
    <w:rsid w:val="004335E2"/>
    <w:rsid w:val="00441E5B"/>
    <w:rsid w:val="00486FE9"/>
    <w:rsid w:val="0050476F"/>
    <w:rsid w:val="0057585A"/>
    <w:rsid w:val="0065142A"/>
    <w:rsid w:val="006A701C"/>
    <w:rsid w:val="006D1BC2"/>
    <w:rsid w:val="006E5160"/>
    <w:rsid w:val="007370B5"/>
    <w:rsid w:val="007B17D1"/>
    <w:rsid w:val="007B37EE"/>
    <w:rsid w:val="008144DC"/>
    <w:rsid w:val="00856AFA"/>
    <w:rsid w:val="0086115F"/>
    <w:rsid w:val="008C15D8"/>
    <w:rsid w:val="008C31C0"/>
    <w:rsid w:val="0093485C"/>
    <w:rsid w:val="00977277"/>
    <w:rsid w:val="00A70F0B"/>
    <w:rsid w:val="00AA4777"/>
    <w:rsid w:val="00AC718F"/>
    <w:rsid w:val="00B107B2"/>
    <w:rsid w:val="00B8528C"/>
    <w:rsid w:val="00BF1D0A"/>
    <w:rsid w:val="00C45CDE"/>
    <w:rsid w:val="00CA42AC"/>
    <w:rsid w:val="00CC5274"/>
    <w:rsid w:val="00CD2A70"/>
    <w:rsid w:val="00CF421D"/>
    <w:rsid w:val="00D2676C"/>
    <w:rsid w:val="00D32E0B"/>
    <w:rsid w:val="00DF3CC2"/>
    <w:rsid w:val="00E16C40"/>
    <w:rsid w:val="00E62989"/>
    <w:rsid w:val="00E81772"/>
    <w:rsid w:val="00E82A32"/>
    <w:rsid w:val="00E82D0F"/>
    <w:rsid w:val="00FC578D"/>
    <w:rsid w:val="00FC7DAB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0"/>
    <w:pPr>
      <w:spacing w:before="120" w:after="120" w:line="360" w:lineRule="auto"/>
      <w:jc w:val="both"/>
    </w:pPr>
    <w:rPr>
      <w:rFonts w:asciiTheme="minorHAnsi" w:hAnsiTheme="min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44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144D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CD2A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A70"/>
    <w:rPr>
      <w:rFonts w:asciiTheme="minorHAnsi" w:hAnsiTheme="minorHAns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D2A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A70"/>
    <w:rPr>
      <w:rFonts w:asciiTheme="minorHAnsi" w:hAnsiTheme="minorHAnsi"/>
      <w:sz w:val="24"/>
    </w:rPr>
  </w:style>
  <w:style w:type="character" w:styleId="Hipervnculo">
    <w:name w:val="Hyperlink"/>
    <w:basedOn w:val="Fuentedeprrafopredeter"/>
    <w:uiPriority w:val="99"/>
    <w:unhideWhenUsed/>
    <w:rsid w:val="00CD2A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21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56A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AFA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AFA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A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AFA"/>
    <w:rPr>
      <w:rFonts w:asciiTheme="minorHAnsi" w:hAnsiTheme="minorHAns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0"/>
    <w:pPr>
      <w:spacing w:before="120" w:after="120" w:line="360" w:lineRule="auto"/>
      <w:jc w:val="both"/>
    </w:pPr>
    <w:rPr>
      <w:rFonts w:asciiTheme="minorHAnsi" w:hAnsiTheme="min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44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144D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CD2A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A70"/>
    <w:rPr>
      <w:rFonts w:asciiTheme="minorHAnsi" w:hAnsiTheme="minorHAns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D2A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A70"/>
    <w:rPr>
      <w:rFonts w:asciiTheme="minorHAnsi" w:hAnsiTheme="minorHAnsi"/>
      <w:sz w:val="24"/>
    </w:rPr>
  </w:style>
  <w:style w:type="character" w:styleId="Hipervnculo">
    <w:name w:val="Hyperlink"/>
    <w:basedOn w:val="Fuentedeprrafopredeter"/>
    <w:uiPriority w:val="99"/>
    <w:unhideWhenUsed/>
    <w:rsid w:val="00CD2A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21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56A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AFA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AFA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A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AFA"/>
    <w:rPr>
      <w:rFonts w:asciiTheme="minorHAnsi" w:hAnsiTheme="minorHAns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ea.ec.europa.eu/en/cef/cef_transport/apply_for_funding/2014-cef-transport-multi-annual-call-funding-objective-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ea.ec.europa.eu/en/cef/cef_transport/apply_for_funding/2014-cef-transport-multi-annual-call-funding-objective-1.htm" TargetMode="External"/><Relationship Id="rId17" Type="http://schemas.openxmlformats.org/officeDocument/2006/relationships/hyperlink" Target="http://ec.europa.eu/research/participants/data/ref/h2020/wp/2014_2015/main/h2020-wp1415-security_en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ea.ec.europa.eu/en/cef/cef_transport/apply_for_funding/2014-cef-transport-multi-annual-call-funding-objective-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programmes/horizon2020/en/news/first-announcement-save-date-conference-transport-safety-societal-challenges-research-solutions" TargetMode="External"/><Relationship Id="rId10" Type="http://schemas.openxmlformats.org/officeDocument/2006/relationships/hyperlink" Target="http://inea.ec.europa.eu/en/cef/cef_transport/apply_for_funding/2014-cef-transport-annual-call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ea.ec.europa.eu/en/news__events/newsroom/cef-transport-%80119-billion-to-improve-european-connections.htm" TargetMode="External"/><Relationship Id="rId14" Type="http://schemas.openxmlformats.org/officeDocument/2006/relationships/hyperlink" Target="http://inea.ec.europa.eu/en/news__events/events/2014_cef_transport_info_day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F16653-FD8F-4427-B576-8CF1E94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</dc:creator>
  <cp:lastModifiedBy>Vicente</cp:lastModifiedBy>
  <cp:revision>3</cp:revision>
  <dcterms:created xsi:type="dcterms:W3CDTF">2014-10-30T15:23:00Z</dcterms:created>
  <dcterms:modified xsi:type="dcterms:W3CDTF">2014-10-30T15:47:00Z</dcterms:modified>
</cp:coreProperties>
</file>